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sz w:val="360"/>
          <w:szCs w:val="360"/>
        </w:rPr>
        <w:t xml:space="preserve"/>
      </w:r>
    </w:p>
    <w:p>
      <w:pPr>
        <w:spacing w:after="0" w:before="0"/>
        <w:jc w:val="center"/>
      </w:pPr>
      <w:r>
        <w:drawing>
          <wp:inline distT="0" distB="0" distL="0" distR="0">
            <wp:extent cx="1905000" cy="63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0" cy="638175"/>
                    </a:xfrm>
                    <a:prstGeom prst="rect">
                      <a:avLst/>
                    </a:prstGeom>
                  </pic:spPr>
                </pic:pic>
              </a:graphicData>
            </a:graphic>
          </wp:inline>
        </w:drawing>
      </w:r>
    </w:p>
    <w:p>
      <w:pPr>
        <w:spacing w:after="0" w:before="0"/>
      </w:pPr>
      <w:r>
        <w:rPr>
          <w:sz w:val="160"/>
          <w:szCs w:val="160"/>
        </w:rPr>
        <w:t xml:space="preserve"/>
      </w:r>
    </w:p>
    <w:p>
      <w:pPr>
        <w:spacing w:after="0" w:before="0"/>
        <w:jc w:val="center"/>
      </w:pPr>
      <w:r>
        <w:rPr>
          <w:rFonts w:ascii="Calibri" w:cs="Calibri" w:eastAsia="Calibri" w:hAnsi="Calibri"/>
          <w:b/>
          <w:bCs/>
          <w:i/>
          <w:iCs/>
          <w:color w:val="B8860B"/>
          <w:sz w:val="36"/>
          <w:szCs w:val="36"/>
        </w:rPr>
        <w:t xml:space="preserve">Roamix Technologies Private Limited</w:t>
      </w:r>
    </w:p>
    <w:p>
      <w:pPr>
        <w:spacing w:after="100" w:before="0"/>
        <w:jc w:val="center"/>
      </w:pPr>
      <w:r>
        <w:rPr>
          <w:rFonts w:ascii="Calibri" w:cs="Calibri" w:eastAsia="Calibri" w:hAnsi="Calibri"/>
          <w:i/>
          <w:iCs/>
          <w:color w:val="E8721A"/>
          <w:sz w:val="24"/>
          <w:szCs w:val="24"/>
        </w:rPr>
        <w:t xml:space="preserve">India's Intercity Ride</w:t>
      </w:r>
    </w:p>
    <w:p>
      <w:pPr>
        <w:pBdr>
          <w:bottom w:val="single" w:color="E8721A" w:sz="12"/>
        </w:pBdr>
        <w:spacing w:after="0" w:before="0"/>
      </w:pPr>
    </w:p>
    <w:p>
      <w:pPr>
        <w:spacing w:after="0" w:before="0"/>
      </w:pPr>
      <w:r>
        <w:rPr>
          <w:sz w:val="200"/>
          <w:szCs w:val="200"/>
        </w:rPr>
        <w:t xml:space="preserve"/>
      </w:r>
    </w:p>
    <w:p>
      <w:pPr>
        <w:spacing w:after="0" w:before="0"/>
        <w:jc w:val="center"/>
      </w:pPr>
      <w:r>
        <w:rPr>
          <w:rFonts w:ascii="Calibri" w:cs="Calibri" w:eastAsia="Calibri" w:hAnsi="Calibri"/>
          <w:b/>
          <w:bCs/>
          <w:color w:val="1B2A6B"/>
          <w:spacing w:val="120"/>
          <w:sz w:val="48"/>
          <w:szCs w:val="48"/>
        </w:rPr>
        <w:t xml:space="preserve">TERMS AND CONDITIONS</w:t>
      </w:r>
    </w:p>
    <w:p>
      <w:pPr>
        <w:spacing w:after="60" w:before="0"/>
        <w:jc w:val="center"/>
      </w:pPr>
      <w:r>
        <w:rPr>
          <w:rFonts w:ascii="Calibri" w:cs="Calibri" w:eastAsia="Calibri" w:hAnsi="Calibri"/>
          <w:b/>
          <w:bCs/>
          <w:color w:val="1B2A6B"/>
          <w:spacing w:val="120"/>
          <w:sz w:val="40"/>
          <w:szCs w:val="40"/>
        </w:rPr>
        <w:t xml:space="preserve">OF USE</w:t>
      </w:r>
    </w:p>
    <w:p>
      <w:pPr>
        <w:spacing w:after="0" w:before="0"/>
      </w:pPr>
      <w:r>
        <w:rPr>
          <w:sz w:val="120"/>
          <w:szCs w:val="120"/>
        </w:rPr>
        <w:t xml:space="preserve"/>
      </w:r>
    </w:p>
    <w:p>
      <w:pPr>
        <w:spacing w:after="400" w:before="0"/>
        <w:jc w:val="center"/>
      </w:pPr>
      <w:r>
        <w:rPr>
          <w:rFonts w:ascii="Calibri" w:cs="Calibri" w:eastAsia="Calibri" w:hAnsi="Calibri"/>
          <w:i/>
          <w:iCs/>
          <w:color w:val="4B5563"/>
          <w:sz w:val="22"/>
          <w:szCs w:val="22"/>
        </w:rPr>
        <w:t xml:space="preserve">Governing your access to and use of the Roamix Platform</w:t>
      </w:r>
    </w:p>
    <w:p>
      <w:pPr>
        <w:pBdr>
          <w:bottom w:val="single" w:color="E5E7EB" w:sz="4"/>
        </w:pBdr>
        <w:spacing w:after="60" w:before="60"/>
      </w:pPr>
    </w:p>
    <w:p>
      <w:pPr>
        <w:spacing w:after="0" w:before="0"/>
      </w:pPr>
      <w:r>
        <w:rPr>
          <w:sz w:val="160"/>
          <w:szCs w:val="16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E5E7EB" w:sz="4"/>
              <w:left w:val="single" w:color="E5E7EB" w:sz="4"/>
              <w:bottom w:val="single" w:color="E5E7EB" w:sz="4"/>
              <w:right w:val="single" w:color="E5E7EB" w:sz="4"/>
            </w:tcBorders>
            <w:shd w:fill="F0F2FA" w:val="clear"/>
            <w:tcMar>
              <w:top w:type="dxa" w:w="90"/>
              <w:left w:type="dxa" w:w="140"/>
              <w:bottom w:type="dxa" w:w="90"/>
              <w:right w:type="dxa" w:w="100"/>
            </w:tcMar>
          </w:tcPr>
          <w:p>
            <w:r>
              <w:rPr>
                <w:rFonts w:ascii="Calibri" w:cs="Calibri" w:eastAsia="Calibri" w:hAnsi="Calibri"/>
                <w:b/>
                <w:bCs/>
                <w:color w:val="1B2A6B"/>
                <w:sz w:val="19"/>
                <w:szCs w:val="19"/>
              </w:rPr>
              <w:t xml:space="preserve">Document</w:t>
            </w:r>
          </w:p>
        </w:tc>
        <w:tc>
          <w:tcPr>
            <w:tcW w:type="dxa" w:w="6560"/>
            <w:tcBorders>
              <w:top w:val="single" w:color="E5E7EB" w:sz="4"/>
              <w:left w:val="single" w:color="E5E7EB" w:sz="4"/>
              <w:bottom w:val="single" w:color="E5E7EB" w:sz="4"/>
              <w:right w:val="single" w:color="E5E7EB" w:sz="4"/>
            </w:tcBorders>
            <w:shd w:fill="F0F2FA" w:val="clear"/>
            <w:tcMar>
              <w:top w:type="dxa" w:w="90"/>
              <w:left w:type="dxa" w:w="160"/>
              <w:bottom w:type="dxa" w:w="90"/>
              <w:right w:type="dxa" w:w="100"/>
            </w:tcMar>
          </w:tcPr>
          <w:p>
            <w:r>
              <w:rPr>
                <w:rFonts w:ascii="Calibri" w:cs="Calibri" w:eastAsia="Calibri" w:hAnsi="Calibri"/>
                <w:color w:val="111827"/>
                <w:sz w:val="19"/>
                <w:szCs w:val="19"/>
              </w:rPr>
              <w:t xml:space="preserve">Terms and Conditions of Use</w:t>
            </w:r>
          </w:p>
        </w:tc>
      </w:tr>
      <w:tr>
        <w:tc>
          <w:tcPr>
            <w:tcW w:type="dxa" w:w="2800"/>
            <w:tcBorders>
              <w:top w:val="single" w:color="E5E7EB" w:sz="4"/>
              <w:left w:val="single" w:color="E5E7EB" w:sz="4"/>
              <w:bottom w:val="single" w:color="E5E7EB" w:sz="4"/>
              <w:right w:val="single" w:color="E5E7EB" w:sz="4"/>
            </w:tcBorders>
            <w:shd w:fill="FFFFFF" w:val="clear"/>
            <w:tcMar>
              <w:top w:type="dxa" w:w="90"/>
              <w:left w:type="dxa" w:w="140"/>
              <w:bottom w:type="dxa" w:w="90"/>
              <w:right w:type="dxa" w:w="100"/>
            </w:tcMar>
          </w:tcPr>
          <w:p>
            <w:r>
              <w:rPr>
                <w:rFonts w:ascii="Calibri" w:cs="Calibri" w:eastAsia="Calibri" w:hAnsi="Calibri"/>
                <w:b/>
                <w:bCs/>
                <w:color w:val="1B2A6B"/>
                <w:sz w:val="19"/>
                <w:szCs w:val="19"/>
              </w:rPr>
              <w:t xml:space="preserve">Platform</w:t>
            </w:r>
          </w:p>
        </w:tc>
        <w:tc>
          <w:tcPr>
            <w:tcW w:type="dxa" w:w="6560"/>
            <w:tcBorders>
              <w:top w:val="single" w:color="E5E7EB" w:sz="4"/>
              <w:left w:val="single" w:color="E5E7EB" w:sz="4"/>
              <w:bottom w:val="single" w:color="E5E7EB" w:sz="4"/>
              <w:right w:val="single" w:color="E5E7EB" w:sz="4"/>
            </w:tcBorders>
            <w:shd w:fill="FFFFFF" w:val="clear"/>
            <w:tcMar>
              <w:top w:type="dxa" w:w="90"/>
              <w:left w:type="dxa" w:w="160"/>
              <w:bottom w:type="dxa" w:w="90"/>
              <w:right w:type="dxa" w:w="100"/>
            </w:tcMar>
          </w:tcPr>
          <w:p>
            <w:r>
              <w:rPr>
                <w:rFonts w:ascii="Calibri" w:cs="Calibri" w:eastAsia="Calibri" w:hAnsi="Calibri"/>
                <w:color w:val="111827"/>
                <w:sz w:val="19"/>
                <w:szCs w:val="19"/>
              </w:rPr>
              <w:t xml:space="preserve">Roamix Mobile Application and Website</w:t>
            </w:r>
          </w:p>
        </w:tc>
      </w:tr>
      <w:tr>
        <w:tc>
          <w:tcPr>
            <w:tcW w:type="dxa" w:w="2800"/>
            <w:tcBorders>
              <w:top w:val="single" w:color="E5E7EB" w:sz="4"/>
              <w:left w:val="single" w:color="E5E7EB" w:sz="4"/>
              <w:bottom w:val="single" w:color="E5E7EB" w:sz="4"/>
              <w:right w:val="single" w:color="E5E7EB" w:sz="4"/>
            </w:tcBorders>
            <w:shd w:fill="F0F2FA" w:val="clear"/>
            <w:tcMar>
              <w:top w:type="dxa" w:w="90"/>
              <w:left w:type="dxa" w:w="140"/>
              <w:bottom w:type="dxa" w:w="90"/>
              <w:right w:type="dxa" w:w="100"/>
            </w:tcMar>
          </w:tcPr>
          <w:p>
            <w:r>
              <w:rPr>
                <w:rFonts w:ascii="Calibri" w:cs="Calibri" w:eastAsia="Calibri" w:hAnsi="Calibri"/>
                <w:b/>
                <w:bCs/>
                <w:color w:val="1B2A6B"/>
                <w:sz w:val="19"/>
                <w:szCs w:val="19"/>
              </w:rPr>
              <w:t xml:space="preserve">Company</w:t>
            </w:r>
          </w:p>
        </w:tc>
        <w:tc>
          <w:tcPr>
            <w:tcW w:type="dxa" w:w="6560"/>
            <w:tcBorders>
              <w:top w:val="single" w:color="E5E7EB" w:sz="4"/>
              <w:left w:val="single" w:color="E5E7EB" w:sz="4"/>
              <w:bottom w:val="single" w:color="E5E7EB" w:sz="4"/>
              <w:right w:val="single" w:color="E5E7EB" w:sz="4"/>
            </w:tcBorders>
            <w:shd w:fill="F0F2FA" w:val="clear"/>
            <w:tcMar>
              <w:top w:type="dxa" w:w="90"/>
              <w:left w:type="dxa" w:w="160"/>
              <w:bottom w:type="dxa" w:w="90"/>
              <w:right w:type="dxa" w:w="100"/>
            </w:tcMar>
          </w:tcPr>
          <w:p>
            <w:r>
              <w:rPr>
                <w:rFonts w:ascii="Calibri" w:cs="Calibri" w:eastAsia="Calibri" w:hAnsi="Calibri"/>
                <w:color w:val="111827"/>
                <w:sz w:val="19"/>
                <w:szCs w:val="19"/>
              </w:rPr>
              <w:t xml:space="preserve">Roamix Technologies Private Limited</w:t>
            </w:r>
          </w:p>
        </w:tc>
      </w:tr>
      <w:tr>
        <w:tc>
          <w:tcPr>
            <w:tcW w:type="dxa" w:w="2800"/>
            <w:tcBorders>
              <w:top w:val="single" w:color="E5E7EB" w:sz="4"/>
              <w:left w:val="single" w:color="E5E7EB" w:sz="4"/>
              <w:bottom w:val="single" w:color="E5E7EB" w:sz="4"/>
              <w:right w:val="single" w:color="E5E7EB" w:sz="4"/>
            </w:tcBorders>
            <w:shd w:fill="FFFFFF" w:val="clear"/>
            <w:tcMar>
              <w:top w:type="dxa" w:w="90"/>
              <w:left w:type="dxa" w:w="140"/>
              <w:bottom w:type="dxa" w:w="90"/>
              <w:right w:type="dxa" w:w="100"/>
            </w:tcMar>
          </w:tcPr>
          <w:p>
            <w:r>
              <w:rPr>
                <w:rFonts w:ascii="Calibri" w:cs="Calibri" w:eastAsia="Calibri" w:hAnsi="Calibri"/>
                <w:b/>
                <w:bCs/>
                <w:color w:val="1B2A6B"/>
                <w:sz w:val="19"/>
                <w:szCs w:val="19"/>
              </w:rPr>
              <w:t xml:space="preserve">CIN</w:t>
            </w:r>
          </w:p>
        </w:tc>
        <w:tc>
          <w:tcPr>
            <w:tcW w:type="dxa" w:w="6560"/>
            <w:tcBorders>
              <w:top w:val="single" w:color="E5E7EB" w:sz="4"/>
              <w:left w:val="single" w:color="E5E7EB" w:sz="4"/>
              <w:bottom w:val="single" w:color="E5E7EB" w:sz="4"/>
              <w:right w:val="single" w:color="E5E7EB" w:sz="4"/>
            </w:tcBorders>
            <w:shd w:fill="FFFFFF" w:val="clear"/>
            <w:tcMar>
              <w:top w:type="dxa" w:w="90"/>
              <w:left w:type="dxa" w:w="160"/>
              <w:bottom w:type="dxa" w:w="90"/>
              <w:right w:type="dxa" w:w="100"/>
            </w:tcMar>
          </w:tcPr>
          <w:p>
            <w:r>
              <w:rPr>
                <w:rFonts w:ascii="Calibri" w:cs="Calibri" w:eastAsia="Calibri" w:hAnsi="Calibri"/>
                <w:color w:val="111827"/>
                <w:sz w:val="19"/>
                <w:szCs w:val="19"/>
              </w:rPr>
              <w:t xml:space="preserve">U62013AP2026PTC127450</w:t>
            </w:r>
          </w:p>
        </w:tc>
      </w:tr>
      <w:tr>
        <w:tc>
          <w:tcPr>
            <w:tcW w:type="dxa" w:w="2800"/>
            <w:tcBorders>
              <w:top w:val="single" w:color="E5E7EB" w:sz="4"/>
              <w:left w:val="single" w:color="E5E7EB" w:sz="4"/>
              <w:bottom w:val="single" w:color="E5E7EB" w:sz="4"/>
              <w:right w:val="single" w:color="E5E7EB" w:sz="4"/>
            </w:tcBorders>
            <w:shd w:fill="F0F2FA" w:val="clear"/>
            <w:tcMar>
              <w:top w:type="dxa" w:w="90"/>
              <w:left w:type="dxa" w:w="140"/>
              <w:bottom w:type="dxa" w:w="90"/>
              <w:right w:type="dxa" w:w="100"/>
            </w:tcMar>
          </w:tcPr>
          <w:p>
            <w:r>
              <w:rPr>
                <w:rFonts w:ascii="Calibri" w:cs="Calibri" w:eastAsia="Calibri" w:hAnsi="Calibri"/>
                <w:b/>
                <w:bCs/>
                <w:color w:val="1B2A6B"/>
                <w:sz w:val="19"/>
                <w:szCs w:val="19"/>
              </w:rPr>
              <w:t xml:space="preserve">Jurisdiction</w:t>
            </w:r>
          </w:p>
        </w:tc>
        <w:tc>
          <w:tcPr>
            <w:tcW w:type="dxa" w:w="6560"/>
            <w:tcBorders>
              <w:top w:val="single" w:color="E5E7EB" w:sz="4"/>
              <w:left w:val="single" w:color="E5E7EB" w:sz="4"/>
              <w:bottom w:val="single" w:color="E5E7EB" w:sz="4"/>
              <w:right w:val="single" w:color="E5E7EB" w:sz="4"/>
            </w:tcBorders>
            <w:shd w:fill="F0F2FA" w:val="clear"/>
            <w:tcMar>
              <w:top w:type="dxa" w:w="90"/>
              <w:left w:type="dxa" w:w="160"/>
              <w:bottom w:type="dxa" w:w="90"/>
              <w:right w:type="dxa" w:w="100"/>
            </w:tcMar>
          </w:tcPr>
          <w:p>
            <w:r>
              <w:rPr>
                <w:rFonts w:ascii="Calibri" w:cs="Calibri" w:eastAsia="Calibri" w:hAnsi="Calibri"/>
                <w:color w:val="111827"/>
                <w:sz w:val="19"/>
                <w:szCs w:val="19"/>
              </w:rPr>
              <w:t xml:space="preserve">Republic of India</w:t>
            </w:r>
          </w:p>
        </w:tc>
      </w:tr>
      <w:tr>
        <w:tc>
          <w:tcPr>
            <w:tcW w:type="dxa" w:w="2800"/>
            <w:tcBorders>
              <w:top w:val="single" w:color="E5E7EB" w:sz="4"/>
              <w:left w:val="single" w:color="E5E7EB" w:sz="4"/>
              <w:bottom w:val="single" w:color="E5E7EB" w:sz="4"/>
              <w:right w:val="single" w:color="E5E7EB" w:sz="4"/>
            </w:tcBorders>
            <w:shd w:fill="FFFFFF" w:val="clear"/>
            <w:tcMar>
              <w:top w:type="dxa" w:w="90"/>
              <w:left w:type="dxa" w:w="140"/>
              <w:bottom w:type="dxa" w:w="90"/>
              <w:right w:type="dxa" w:w="100"/>
            </w:tcMar>
          </w:tcPr>
          <w:p>
            <w:r>
              <w:rPr>
                <w:rFonts w:ascii="Calibri" w:cs="Calibri" w:eastAsia="Calibri" w:hAnsi="Calibri"/>
                <w:b/>
                <w:bCs/>
                <w:color w:val="1B2A6B"/>
                <w:sz w:val="19"/>
                <w:szCs w:val="19"/>
              </w:rPr>
              <w:t xml:space="preserve">Version</w:t>
            </w:r>
          </w:p>
        </w:tc>
        <w:tc>
          <w:tcPr>
            <w:tcW w:type="dxa" w:w="6560"/>
            <w:tcBorders>
              <w:top w:val="single" w:color="E5E7EB" w:sz="4"/>
              <w:left w:val="single" w:color="E5E7EB" w:sz="4"/>
              <w:bottom w:val="single" w:color="E5E7EB" w:sz="4"/>
              <w:right w:val="single" w:color="E5E7EB" w:sz="4"/>
            </w:tcBorders>
            <w:shd w:fill="FFFFFF" w:val="clear"/>
            <w:tcMar>
              <w:top w:type="dxa" w:w="90"/>
              <w:left w:type="dxa" w:w="160"/>
              <w:bottom w:type="dxa" w:w="90"/>
              <w:right w:type="dxa" w:w="100"/>
            </w:tcMar>
          </w:tcPr>
          <w:p>
            <w:r>
              <w:rPr>
                <w:rFonts w:ascii="Calibri" w:cs="Calibri" w:eastAsia="Calibri" w:hAnsi="Calibri"/>
                <w:color w:val="111827"/>
                <w:sz w:val="19"/>
                <w:szCs w:val="19"/>
              </w:rPr>
              <w:t xml:space="preserve">1.0</w:t>
            </w:r>
          </w:p>
        </w:tc>
      </w:tr>
      <w:tr>
        <w:tc>
          <w:tcPr>
            <w:tcW w:type="dxa" w:w="2800"/>
            <w:tcBorders>
              <w:top w:val="single" w:color="E5E7EB" w:sz="4"/>
              <w:left w:val="single" w:color="E5E7EB" w:sz="4"/>
              <w:bottom w:val="single" w:color="E5E7EB" w:sz="4"/>
              <w:right w:val="single" w:color="E5E7EB" w:sz="4"/>
            </w:tcBorders>
            <w:shd w:fill="F0F2FA" w:val="clear"/>
            <w:tcMar>
              <w:top w:type="dxa" w:w="90"/>
              <w:left w:type="dxa" w:w="140"/>
              <w:bottom w:type="dxa" w:w="90"/>
              <w:right w:type="dxa" w:w="100"/>
            </w:tcMar>
          </w:tcPr>
          <w:p>
            <w:r>
              <w:rPr>
                <w:rFonts w:ascii="Calibri" w:cs="Calibri" w:eastAsia="Calibri" w:hAnsi="Calibri"/>
                <w:b/>
                <w:bCs/>
                <w:color w:val="1B2A6B"/>
                <w:sz w:val="19"/>
                <w:szCs w:val="19"/>
              </w:rPr>
              <w:t xml:space="preserve">Effective Date</w:t>
            </w:r>
          </w:p>
        </w:tc>
        <w:tc>
          <w:tcPr>
            <w:tcW w:type="dxa" w:w="6560"/>
            <w:tcBorders>
              <w:top w:val="single" w:color="E5E7EB" w:sz="4"/>
              <w:left w:val="single" w:color="E5E7EB" w:sz="4"/>
              <w:bottom w:val="single" w:color="E5E7EB" w:sz="4"/>
              <w:right w:val="single" w:color="E5E7EB" w:sz="4"/>
            </w:tcBorders>
            <w:shd w:fill="F0F2FA" w:val="clear"/>
            <w:tcMar>
              <w:top w:type="dxa" w:w="90"/>
              <w:left w:type="dxa" w:w="160"/>
              <w:bottom w:type="dxa" w:w="90"/>
              <w:right w:type="dxa" w:w="100"/>
            </w:tcMar>
          </w:tcPr>
          <w:p>
            <w:r>
              <w:rPr>
                <w:rFonts w:ascii="Calibri" w:cs="Calibri" w:eastAsia="Calibri" w:hAnsi="Calibri"/>
                <w:color w:val="111827"/>
                <w:sz w:val="19"/>
                <w:szCs w:val="19"/>
              </w:rPr>
              <w:t xml:space="preserve">[DD Month YYYY]</w:t>
            </w:r>
          </w:p>
        </w:tc>
      </w:tr>
      <w:tr>
        <w:tc>
          <w:tcPr>
            <w:tcW w:type="dxa" w:w="2800"/>
            <w:tcBorders>
              <w:top w:val="single" w:color="E5E7EB" w:sz="4"/>
              <w:left w:val="single" w:color="E5E7EB" w:sz="4"/>
              <w:bottom w:val="single" w:color="E5E7EB" w:sz="4"/>
              <w:right w:val="single" w:color="E5E7EB" w:sz="4"/>
            </w:tcBorders>
            <w:shd w:fill="FFFFFF" w:val="clear"/>
            <w:tcMar>
              <w:top w:type="dxa" w:w="90"/>
              <w:left w:type="dxa" w:w="140"/>
              <w:bottom w:type="dxa" w:w="90"/>
              <w:right w:type="dxa" w:w="100"/>
            </w:tcMar>
          </w:tcPr>
          <w:p>
            <w:r>
              <w:rPr>
                <w:rFonts w:ascii="Calibri" w:cs="Calibri" w:eastAsia="Calibri" w:hAnsi="Calibri"/>
                <w:b/>
                <w:bCs/>
                <w:color w:val="1B2A6B"/>
                <w:sz w:val="19"/>
                <w:szCs w:val="19"/>
              </w:rPr>
              <w:t xml:space="preserve">Governing Law</w:t>
            </w:r>
          </w:p>
        </w:tc>
        <w:tc>
          <w:tcPr>
            <w:tcW w:type="dxa" w:w="6560"/>
            <w:tcBorders>
              <w:top w:val="single" w:color="E5E7EB" w:sz="4"/>
              <w:left w:val="single" w:color="E5E7EB" w:sz="4"/>
              <w:bottom w:val="single" w:color="E5E7EB" w:sz="4"/>
              <w:right w:val="single" w:color="E5E7EB" w:sz="4"/>
            </w:tcBorders>
            <w:shd w:fill="FFFFFF" w:val="clear"/>
            <w:tcMar>
              <w:top w:type="dxa" w:w="90"/>
              <w:left w:type="dxa" w:w="160"/>
              <w:bottom w:type="dxa" w:w="90"/>
              <w:right w:type="dxa" w:w="100"/>
            </w:tcMar>
          </w:tcPr>
          <w:p>
            <w:r>
              <w:rPr>
                <w:rFonts w:ascii="Calibri" w:cs="Calibri" w:eastAsia="Calibri" w:hAnsi="Calibri"/>
                <w:color w:val="111827"/>
                <w:sz w:val="19"/>
                <w:szCs w:val="19"/>
              </w:rPr>
              <w:t xml:space="preserve">Indian Contract Act 1872 | IT Act 2000 | Consumer Protection Act 2019</w:t>
            </w:r>
          </w:p>
        </w:tc>
      </w:tr>
    </w:tbl>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C2626" w:sz="6"/>
              <w:left w:val="thick" w:color="DC2626" w:sz="24"/>
              <w:bottom w:val="single" w:color="DC2626" w:sz="6"/>
              <w:right w:val="none" w:color="FFFFFF" w:sz="0"/>
            </w:tcBorders>
            <w:shd w:fill="FEF2F2" w:val="clear"/>
            <w:tcMar>
              <w:top w:type="dxa" w:w="150"/>
              <w:left w:type="dxa" w:w="300"/>
              <w:bottom w:type="dxa" w:w="150"/>
              <w:right w:type="dxa" w:w="240"/>
            </w:tcMar>
          </w:tcPr>
          <w:p>
            <w:pPr>
              <w:spacing w:after="90" w:before="0"/>
            </w:pPr>
            <w:r>
              <w:rPr>
                <w:rFonts w:ascii="Calibri" w:cs="Calibri" w:eastAsia="Calibri" w:hAnsi="Calibri"/>
                <w:b/>
                <w:bCs/>
                <w:color w:val="DC2626"/>
                <w:sz w:val="21"/>
                <w:szCs w:val="21"/>
              </w:rPr>
              <w:t xml:space="preserve">⚠️  Legal Advisory</w:t>
            </w:r>
          </w:p>
          <w:p>
            <w:pPr>
              <w:spacing w:after="70" w:before="0"/>
              <w:jc w:val="both"/>
            </w:pPr>
            <w:r>
              <w:rPr>
                <w:rFonts w:ascii="Calibri" w:cs="Calibri" w:eastAsia="Calibri" w:hAnsi="Calibri"/>
                <w:i/>
                <w:iCs/>
                <w:color w:val="111827"/>
                <w:sz w:val="19"/>
                <w:szCs w:val="19"/>
              </w:rPr>
              <w:t xml:space="preserve">These Terms and Conditions are a legally binding agreement between you and Roamix Technologies Private Limited. Please read this document carefully before registering or using the Roamix Platform. By accessing, registering, or using the Platform in any manner, you confirm that you have read, understood, and unconditionally agree to be bound by these Terms.</w:t>
            </w:r>
          </w:p>
          <w:p>
            <w:pPr>
              <w:spacing w:after="70" w:before="0"/>
              <w:jc w:val="both"/>
            </w:pPr>
            <w:r>
              <w:rPr>
                <w:rFonts w:ascii="Calibri" w:cs="Calibri" w:eastAsia="Calibri" w:hAnsi="Calibri"/>
                <w:i/>
                <w:iCs/>
                <w:color w:val="111827"/>
                <w:sz w:val="19"/>
                <w:szCs w:val="19"/>
              </w:rPr>
              <w:t xml:space="preserve">If you do not agree to any part of these Terms, please immediately discontinue use of the Platform.</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  </w:t>
            </w:r>
            <w:r>
              <w:rPr>
                <w:rFonts w:ascii="Calibri" w:cs="Calibri" w:eastAsia="Calibri" w:hAnsi="Calibri"/>
                <w:b/>
                <w:bCs/>
                <w:color w:val="FFFFFF"/>
                <w:sz w:val="24"/>
                <w:szCs w:val="24"/>
              </w:rPr>
              <w:t xml:space="preserve">Interpretation and Definitions</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In these Terms and Conditions, the following words and expressions shall have the meanings assigned to them below, unless the context otherwise requires. Words in the singular include the plural and vice versa.</w:t>
      </w:r>
    </w:p>
    <w:p>
      <w:pPr>
        <w:spacing w:after="0" w:before="0"/>
      </w:pPr>
      <w:r>
        <w:rPr>
          <w:sz w:val="100"/>
          <w:szCs w:val="10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1B2A6B" w:sz="4"/>
              <w:left w:val="single" w:color="1B2A6B" w:sz="4"/>
              <w:bottom w:val="single" w:color="1B2A6B" w:sz="4"/>
              <w:right w:val="single" w:color="1B2A6B" w:sz="4"/>
            </w:tcBorders>
            <w:shd w:fill="1B2A6B" w:val="clear"/>
            <w:tcMar>
              <w:top w:type="dxa" w:w="90"/>
              <w:left w:type="dxa" w:w="140"/>
              <w:bottom w:type="dxa" w:w="90"/>
              <w:right w:type="dxa" w:w="100"/>
            </w:tcMar>
          </w:tcPr>
          <w:p>
            <w:r>
              <w:rPr>
                <w:rFonts w:ascii="Calibri" w:cs="Calibri" w:eastAsia="Calibri" w:hAnsi="Calibri"/>
                <w:b/>
                <w:bCs/>
                <w:color w:val="FFFFFF"/>
                <w:sz w:val="19"/>
                <w:szCs w:val="19"/>
              </w:rPr>
              <w:t xml:space="preserve">Term</w:t>
            </w:r>
          </w:p>
        </w:tc>
        <w:tc>
          <w:tcPr>
            <w:tcW w:type="dxa" w:w="6960"/>
            <w:tcBorders>
              <w:top w:val="single" w:color="1B2A6B" w:sz="4"/>
              <w:left w:val="single" w:color="1B2A6B" w:sz="4"/>
              <w:bottom w:val="single" w:color="1B2A6B" w:sz="4"/>
              <w:right w:val="single" w:color="1B2A6B" w:sz="4"/>
            </w:tcBorders>
            <w:shd w:fill="1B2A6B" w:val="clear"/>
            <w:tcMar>
              <w:top w:type="dxa" w:w="90"/>
              <w:left w:type="dxa" w:w="160"/>
              <w:bottom w:type="dxa" w:w="90"/>
              <w:right w:type="dxa" w:w="100"/>
            </w:tcMar>
          </w:tcPr>
          <w:p>
            <w:r>
              <w:rPr>
                <w:rFonts w:ascii="Calibri" w:cs="Calibri" w:eastAsia="Calibri" w:hAnsi="Calibri"/>
                <w:b/>
                <w:bCs/>
                <w:color w:val="FFFFFF"/>
                <w:sz w:val="19"/>
                <w:szCs w:val="19"/>
              </w:rPr>
              <w:t xml:space="preserve">Meaning</w:t>
            </w:r>
          </w:p>
        </w:tc>
      </w:tr>
      <w:tr>
        <w:tc>
          <w:tcPr>
            <w:tcW w:type="dxa" w:w="2400"/>
            <w:tcBorders>
              <w:top w:val="single" w:color="E5E7EB" w:sz="4"/>
              <w:left w:val="single" w:color="E5E7EB" w:sz="4"/>
              <w:bottom w:val="single" w:color="E5E7EB" w:sz="4"/>
              <w:right w:val="single" w:color="E5E7EB" w:sz="4"/>
            </w:tcBorders>
            <w:shd w:fill="F0F2FA" w:val="clear"/>
            <w:tcMar>
              <w:top w:type="dxa" w:w="80"/>
              <w:left w:type="dxa" w:w="140"/>
              <w:bottom w:type="dxa" w:w="80"/>
              <w:right w:type="dxa" w:w="100"/>
            </w:tcMar>
          </w:tcPr>
          <w:p>
            <w:r>
              <w:rPr>
                <w:rFonts w:ascii="Calibri" w:cs="Calibri" w:eastAsia="Calibri" w:hAnsi="Calibri"/>
                <w:b/>
                <w:bCs/>
                <w:color w:val="1B2A6B"/>
                <w:sz w:val="19"/>
                <w:szCs w:val="19"/>
              </w:rPr>
              <w:t xml:space="preserve">"Roamix" or "Company"</w:t>
            </w:r>
          </w:p>
        </w:tc>
        <w:tc>
          <w:tcPr>
            <w:tcW w:type="dxa" w:w="6960"/>
            <w:tcBorders>
              <w:top w:val="single" w:color="E5E7EB" w:sz="4"/>
              <w:left w:val="single" w:color="E5E7EB" w:sz="4"/>
              <w:bottom w:val="single" w:color="E5E7EB" w:sz="4"/>
              <w:right w:val="single" w:color="E5E7EB" w:sz="4"/>
            </w:tcBorders>
            <w:shd w:fill="F0F2FA" w:val="clear"/>
            <w:tcMar>
              <w:top w:type="dxa" w:w="80"/>
              <w:left w:type="dxa" w:w="160"/>
              <w:bottom w:type="dxa" w:w="80"/>
              <w:right w:type="dxa" w:w="100"/>
            </w:tcMar>
          </w:tcPr>
          <w:p>
            <w:pPr>
              <w:jc w:val="both"/>
            </w:pPr>
            <w:r>
              <w:rPr>
                <w:rFonts w:ascii="Calibri" w:cs="Calibri" w:eastAsia="Calibri" w:hAnsi="Calibri"/>
                <w:color w:val="111827"/>
                <w:sz w:val="19"/>
                <w:szCs w:val="19"/>
              </w:rPr>
              <w:t xml:space="preserve">Roamix Technologies Private Limited, a private limited company incorporated under the Companies Act 2013 (CIN: U62013AP2026PTC127450), having its registered office at Tirupati, Andhra Pradesh – 517503.</w:t>
            </w:r>
          </w:p>
        </w:tc>
      </w:tr>
      <w:tr>
        <w:tc>
          <w:tcPr>
            <w:tcW w:type="dxa" w:w="2400"/>
            <w:tcBorders>
              <w:top w:val="single" w:color="E5E7EB" w:sz="4"/>
              <w:left w:val="single" w:color="E5E7EB" w:sz="4"/>
              <w:bottom w:val="single" w:color="E5E7EB" w:sz="4"/>
              <w:right w:val="single" w:color="E5E7EB" w:sz="4"/>
            </w:tcBorders>
            <w:shd w:fill="FFFFFF" w:val="clear"/>
            <w:tcMar>
              <w:top w:type="dxa" w:w="80"/>
              <w:left w:type="dxa" w:w="140"/>
              <w:bottom w:type="dxa" w:w="80"/>
              <w:right w:type="dxa" w:w="100"/>
            </w:tcMar>
          </w:tcPr>
          <w:p>
            <w:r>
              <w:rPr>
                <w:rFonts w:ascii="Calibri" w:cs="Calibri" w:eastAsia="Calibri" w:hAnsi="Calibri"/>
                <w:b/>
                <w:bCs/>
                <w:color w:val="1B2A6B"/>
                <w:sz w:val="19"/>
                <w:szCs w:val="19"/>
              </w:rPr>
              <w:t xml:space="preserve">"Platform"</w:t>
            </w:r>
          </w:p>
        </w:tc>
        <w:tc>
          <w:tcPr>
            <w:tcW w:type="dxa" w:w="6960"/>
            <w:tcBorders>
              <w:top w:val="single" w:color="E5E7EB" w:sz="4"/>
              <w:left w:val="single" w:color="E5E7EB" w:sz="4"/>
              <w:bottom w:val="single" w:color="E5E7EB" w:sz="4"/>
              <w:right w:val="single" w:color="E5E7EB" w:sz="4"/>
            </w:tcBorders>
            <w:shd w:fill="FFFFFF" w:val="clear"/>
            <w:tcMar>
              <w:top w:type="dxa" w:w="80"/>
              <w:left w:type="dxa" w:w="160"/>
              <w:bottom w:type="dxa" w:w="80"/>
              <w:right w:type="dxa" w:w="100"/>
            </w:tcMar>
          </w:tcPr>
          <w:p>
            <w:pPr>
              <w:jc w:val="both"/>
            </w:pPr>
            <w:r>
              <w:rPr>
                <w:rFonts w:ascii="Calibri" w:cs="Calibri" w:eastAsia="Calibri" w:hAnsi="Calibri"/>
                <w:color w:val="111827"/>
                <w:sz w:val="19"/>
                <w:szCs w:val="19"/>
              </w:rPr>
              <w:t xml:space="preserve">The Roamix mobile application (Android and iOS), website, APIs, and all associated technology services operated by the Company.</w:t>
            </w:r>
          </w:p>
        </w:tc>
      </w:tr>
      <w:tr>
        <w:tc>
          <w:tcPr>
            <w:tcW w:type="dxa" w:w="2400"/>
            <w:tcBorders>
              <w:top w:val="single" w:color="E5E7EB" w:sz="4"/>
              <w:left w:val="single" w:color="E5E7EB" w:sz="4"/>
              <w:bottom w:val="single" w:color="E5E7EB" w:sz="4"/>
              <w:right w:val="single" w:color="E5E7EB" w:sz="4"/>
            </w:tcBorders>
            <w:shd w:fill="F0F2FA" w:val="clear"/>
            <w:tcMar>
              <w:top w:type="dxa" w:w="80"/>
              <w:left w:type="dxa" w:w="140"/>
              <w:bottom w:type="dxa" w:w="80"/>
              <w:right w:type="dxa" w:w="100"/>
            </w:tcMar>
          </w:tcPr>
          <w:p>
            <w:r>
              <w:rPr>
                <w:rFonts w:ascii="Calibri" w:cs="Calibri" w:eastAsia="Calibri" w:hAnsi="Calibri"/>
                <w:b/>
                <w:bCs/>
                <w:color w:val="1B2A6B"/>
                <w:sz w:val="19"/>
                <w:szCs w:val="19"/>
              </w:rPr>
              <w:t xml:space="preserve">"User" or "Traveller"</w:t>
            </w:r>
          </w:p>
        </w:tc>
        <w:tc>
          <w:tcPr>
            <w:tcW w:type="dxa" w:w="6960"/>
            <w:tcBorders>
              <w:top w:val="single" w:color="E5E7EB" w:sz="4"/>
              <w:left w:val="single" w:color="E5E7EB" w:sz="4"/>
              <w:bottom w:val="single" w:color="E5E7EB" w:sz="4"/>
              <w:right w:val="single" w:color="E5E7EB" w:sz="4"/>
            </w:tcBorders>
            <w:shd w:fill="F0F2FA" w:val="clear"/>
            <w:tcMar>
              <w:top w:type="dxa" w:w="80"/>
              <w:left w:type="dxa" w:w="160"/>
              <w:bottom w:type="dxa" w:w="80"/>
              <w:right w:type="dxa" w:w="100"/>
            </w:tcMar>
          </w:tcPr>
          <w:p>
            <w:pPr>
              <w:jc w:val="both"/>
            </w:pPr>
            <w:r>
              <w:rPr>
                <w:rFonts w:ascii="Calibri" w:cs="Calibri" w:eastAsia="Calibri" w:hAnsi="Calibri"/>
                <w:color w:val="111827"/>
                <w:sz w:val="19"/>
                <w:szCs w:val="19"/>
              </w:rPr>
              <w:t xml:space="preserve">Any individual who registers on, accesses, or uses the Platform to search, compare, or book intercity rides or related services.</w:t>
            </w:r>
          </w:p>
        </w:tc>
      </w:tr>
      <w:tr>
        <w:tc>
          <w:tcPr>
            <w:tcW w:type="dxa" w:w="2400"/>
            <w:tcBorders>
              <w:top w:val="single" w:color="E5E7EB" w:sz="4"/>
              <w:left w:val="single" w:color="E5E7EB" w:sz="4"/>
              <w:bottom w:val="single" w:color="E5E7EB" w:sz="4"/>
              <w:right w:val="single" w:color="E5E7EB" w:sz="4"/>
            </w:tcBorders>
            <w:shd w:fill="FFFFFF" w:val="clear"/>
            <w:tcMar>
              <w:top w:type="dxa" w:w="80"/>
              <w:left w:type="dxa" w:w="140"/>
              <w:bottom w:type="dxa" w:w="80"/>
              <w:right w:type="dxa" w:w="100"/>
            </w:tcMar>
          </w:tcPr>
          <w:p>
            <w:r>
              <w:rPr>
                <w:rFonts w:ascii="Calibri" w:cs="Calibri" w:eastAsia="Calibri" w:hAnsi="Calibri"/>
                <w:b/>
                <w:bCs/>
                <w:color w:val="1B2A6B"/>
                <w:sz w:val="19"/>
                <w:szCs w:val="19"/>
              </w:rPr>
              <w:t xml:space="preserve">"Partner"</w:t>
            </w:r>
          </w:p>
        </w:tc>
        <w:tc>
          <w:tcPr>
            <w:tcW w:type="dxa" w:w="6960"/>
            <w:tcBorders>
              <w:top w:val="single" w:color="E5E7EB" w:sz="4"/>
              <w:left w:val="single" w:color="E5E7EB" w:sz="4"/>
              <w:bottom w:val="single" w:color="E5E7EB" w:sz="4"/>
              <w:right w:val="single" w:color="E5E7EB" w:sz="4"/>
            </w:tcBorders>
            <w:shd w:fill="FFFFFF" w:val="clear"/>
            <w:tcMar>
              <w:top w:type="dxa" w:w="80"/>
              <w:left w:type="dxa" w:w="160"/>
              <w:bottom w:type="dxa" w:w="80"/>
              <w:right w:type="dxa" w:w="100"/>
            </w:tcMar>
          </w:tcPr>
          <w:p>
            <w:pPr>
              <w:jc w:val="both"/>
            </w:pPr>
            <w:r>
              <w:rPr>
                <w:rFonts w:ascii="Calibri" w:cs="Calibri" w:eastAsia="Calibri" w:hAnsi="Calibri"/>
                <w:color w:val="111827"/>
                <w:sz w:val="19"/>
                <w:szCs w:val="19"/>
              </w:rPr>
              <w:t xml:space="preserve">Any driver, driver-cum-owner, vehicle owner, fleet owner, or travel operator who registers on the Platform to list and offer intercity travel services.</w:t>
            </w:r>
          </w:p>
        </w:tc>
      </w:tr>
      <w:tr>
        <w:tc>
          <w:tcPr>
            <w:tcW w:type="dxa" w:w="2400"/>
            <w:tcBorders>
              <w:top w:val="single" w:color="E5E7EB" w:sz="4"/>
              <w:left w:val="single" w:color="E5E7EB" w:sz="4"/>
              <w:bottom w:val="single" w:color="E5E7EB" w:sz="4"/>
              <w:right w:val="single" w:color="E5E7EB" w:sz="4"/>
            </w:tcBorders>
            <w:shd w:fill="F0F2FA" w:val="clear"/>
            <w:tcMar>
              <w:top w:type="dxa" w:w="80"/>
              <w:left w:type="dxa" w:w="140"/>
              <w:bottom w:type="dxa" w:w="80"/>
              <w:right w:type="dxa" w:w="100"/>
            </w:tcMar>
          </w:tcPr>
          <w:p>
            <w:r>
              <w:rPr>
                <w:rFonts w:ascii="Calibri" w:cs="Calibri" w:eastAsia="Calibri" w:hAnsi="Calibri"/>
                <w:b/>
                <w:bCs/>
                <w:color w:val="1B2A6B"/>
                <w:sz w:val="19"/>
                <w:szCs w:val="19"/>
              </w:rPr>
              <w:t xml:space="preserve">"Booking"</w:t>
            </w:r>
          </w:p>
        </w:tc>
        <w:tc>
          <w:tcPr>
            <w:tcW w:type="dxa" w:w="6960"/>
            <w:tcBorders>
              <w:top w:val="single" w:color="E5E7EB" w:sz="4"/>
              <w:left w:val="single" w:color="E5E7EB" w:sz="4"/>
              <w:bottom w:val="single" w:color="E5E7EB" w:sz="4"/>
              <w:right w:val="single" w:color="E5E7EB" w:sz="4"/>
            </w:tcBorders>
            <w:shd w:fill="F0F2FA" w:val="clear"/>
            <w:tcMar>
              <w:top w:type="dxa" w:w="80"/>
              <w:left w:type="dxa" w:w="160"/>
              <w:bottom w:type="dxa" w:w="80"/>
              <w:right w:type="dxa" w:w="100"/>
            </w:tcMar>
          </w:tcPr>
          <w:p>
            <w:pPr>
              <w:jc w:val="both"/>
            </w:pPr>
            <w:r>
              <w:rPr>
                <w:rFonts w:ascii="Calibri" w:cs="Calibri" w:eastAsia="Calibri" w:hAnsi="Calibri"/>
                <w:color w:val="111827"/>
                <w:sz w:val="19"/>
                <w:szCs w:val="19"/>
              </w:rPr>
              <w:t xml:space="preserve">A confirmed reservation of one or more seats or a complete vehicle for an intercity trip, made through the Platform and acknowledged by a Booking Confirmation.</w:t>
            </w:r>
          </w:p>
        </w:tc>
      </w:tr>
      <w:tr>
        <w:tc>
          <w:tcPr>
            <w:tcW w:type="dxa" w:w="2400"/>
            <w:tcBorders>
              <w:top w:val="single" w:color="E5E7EB" w:sz="4"/>
              <w:left w:val="single" w:color="E5E7EB" w:sz="4"/>
              <w:bottom w:val="single" w:color="E5E7EB" w:sz="4"/>
              <w:right w:val="single" w:color="E5E7EB" w:sz="4"/>
            </w:tcBorders>
            <w:shd w:fill="FFFFFF" w:val="clear"/>
            <w:tcMar>
              <w:top w:type="dxa" w:w="80"/>
              <w:left w:type="dxa" w:w="140"/>
              <w:bottom w:type="dxa" w:w="80"/>
              <w:right w:type="dxa" w:w="100"/>
            </w:tcMar>
          </w:tcPr>
          <w:p>
            <w:r>
              <w:rPr>
                <w:rFonts w:ascii="Calibri" w:cs="Calibri" w:eastAsia="Calibri" w:hAnsi="Calibri"/>
                <w:b/>
                <w:bCs/>
                <w:color w:val="1B2A6B"/>
                <w:sz w:val="19"/>
                <w:szCs w:val="19"/>
              </w:rPr>
              <w:t xml:space="preserve">"Services"</w:t>
            </w:r>
          </w:p>
        </w:tc>
        <w:tc>
          <w:tcPr>
            <w:tcW w:type="dxa" w:w="6960"/>
            <w:tcBorders>
              <w:top w:val="single" w:color="E5E7EB" w:sz="4"/>
              <w:left w:val="single" w:color="E5E7EB" w:sz="4"/>
              <w:bottom w:val="single" w:color="E5E7EB" w:sz="4"/>
              <w:right w:val="single" w:color="E5E7EB" w:sz="4"/>
            </w:tcBorders>
            <w:shd w:fill="FFFFFF" w:val="clear"/>
            <w:tcMar>
              <w:top w:type="dxa" w:w="80"/>
              <w:left w:type="dxa" w:w="160"/>
              <w:bottom w:type="dxa" w:w="80"/>
              <w:right w:type="dxa" w:w="100"/>
            </w:tcMar>
          </w:tcPr>
          <w:p>
            <w:pPr>
              <w:jc w:val="both"/>
            </w:pPr>
            <w:r>
              <w:rPr>
                <w:rFonts w:ascii="Calibri" w:cs="Calibri" w:eastAsia="Calibri" w:hAnsi="Calibri"/>
                <w:color w:val="111827"/>
                <w:sz w:val="19"/>
                <w:szCs w:val="19"/>
              </w:rPr>
              <w:t xml:space="preserve">All features, tools, functionalities, and services made available to Users and Partners through the Platform.</w:t>
            </w:r>
          </w:p>
        </w:tc>
      </w:tr>
      <w:tr>
        <w:tc>
          <w:tcPr>
            <w:tcW w:type="dxa" w:w="2400"/>
            <w:tcBorders>
              <w:top w:val="single" w:color="E5E7EB" w:sz="4"/>
              <w:left w:val="single" w:color="E5E7EB" w:sz="4"/>
              <w:bottom w:val="single" w:color="E5E7EB" w:sz="4"/>
              <w:right w:val="single" w:color="E5E7EB" w:sz="4"/>
            </w:tcBorders>
            <w:shd w:fill="F0F2FA" w:val="clear"/>
            <w:tcMar>
              <w:top w:type="dxa" w:w="80"/>
              <w:left w:type="dxa" w:w="140"/>
              <w:bottom w:type="dxa" w:w="80"/>
              <w:right w:type="dxa" w:w="100"/>
            </w:tcMar>
          </w:tcPr>
          <w:p>
            <w:r>
              <w:rPr>
                <w:rFonts w:ascii="Calibri" w:cs="Calibri" w:eastAsia="Calibri" w:hAnsi="Calibri"/>
                <w:b/>
                <w:bCs/>
                <w:color w:val="1B2A6B"/>
                <w:sz w:val="19"/>
                <w:szCs w:val="19"/>
              </w:rPr>
              <w:t xml:space="preserve">"Platform Fee"</w:t>
            </w:r>
          </w:p>
        </w:tc>
        <w:tc>
          <w:tcPr>
            <w:tcW w:type="dxa" w:w="6960"/>
            <w:tcBorders>
              <w:top w:val="single" w:color="E5E7EB" w:sz="4"/>
              <w:left w:val="single" w:color="E5E7EB" w:sz="4"/>
              <w:bottom w:val="single" w:color="E5E7EB" w:sz="4"/>
              <w:right w:val="single" w:color="E5E7EB" w:sz="4"/>
            </w:tcBorders>
            <w:shd w:fill="F0F2FA" w:val="clear"/>
            <w:tcMar>
              <w:top w:type="dxa" w:w="80"/>
              <w:left w:type="dxa" w:w="160"/>
              <w:bottom w:type="dxa" w:w="80"/>
              <w:right w:type="dxa" w:w="100"/>
            </w:tcMar>
          </w:tcPr>
          <w:p>
            <w:pPr>
              <w:jc w:val="both"/>
            </w:pPr>
            <w:r>
              <w:rPr>
                <w:rFonts w:ascii="Calibri" w:cs="Calibri" w:eastAsia="Calibri" w:hAnsi="Calibri"/>
                <w:color w:val="111827"/>
                <w:sz w:val="19"/>
                <w:szCs w:val="19"/>
              </w:rPr>
              <w:t xml:space="preserve">The service fee charged by Roamix to the Traveller as part of the Booking amount, displayed clearly before payment.</w:t>
            </w:r>
          </w:p>
        </w:tc>
      </w:tr>
      <w:tr>
        <w:tc>
          <w:tcPr>
            <w:tcW w:type="dxa" w:w="2400"/>
            <w:tcBorders>
              <w:top w:val="single" w:color="E5E7EB" w:sz="4"/>
              <w:left w:val="single" w:color="E5E7EB" w:sz="4"/>
              <w:bottom w:val="single" w:color="E5E7EB" w:sz="4"/>
              <w:right w:val="single" w:color="E5E7EB" w:sz="4"/>
            </w:tcBorders>
            <w:shd w:fill="FFFFFF" w:val="clear"/>
            <w:tcMar>
              <w:top w:type="dxa" w:w="80"/>
              <w:left w:type="dxa" w:w="140"/>
              <w:bottom w:type="dxa" w:w="80"/>
              <w:right w:type="dxa" w:w="100"/>
            </w:tcMar>
          </w:tcPr>
          <w:p>
            <w:r>
              <w:rPr>
                <w:rFonts w:ascii="Calibri" w:cs="Calibri" w:eastAsia="Calibri" w:hAnsi="Calibri"/>
                <w:b/>
                <w:bCs/>
                <w:color w:val="1B2A6B"/>
                <w:sz w:val="19"/>
                <w:szCs w:val="19"/>
              </w:rPr>
              <w:t xml:space="preserve">"Partner Fare"</w:t>
            </w:r>
          </w:p>
        </w:tc>
        <w:tc>
          <w:tcPr>
            <w:tcW w:type="dxa" w:w="6960"/>
            <w:tcBorders>
              <w:top w:val="single" w:color="E5E7EB" w:sz="4"/>
              <w:left w:val="single" w:color="E5E7EB" w:sz="4"/>
              <w:bottom w:val="single" w:color="E5E7EB" w:sz="4"/>
              <w:right w:val="single" w:color="E5E7EB" w:sz="4"/>
            </w:tcBorders>
            <w:shd w:fill="FFFFFF" w:val="clear"/>
            <w:tcMar>
              <w:top w:type="dxa" w:w="80"/>
              <w:left w:type="dxa" w:w="160"/>
              <w:bottom w:type="dxa" w:w="80"/>
              <w:right w:type="dxa" w:w="100"/>
            </w:tcMar>
          </w:tcPr>
          <w:p>
            <w:pPr>
              <w:jc w:val="both"/>
            </w:pPr>
            <w:r>
              <w:rPr>
                <w:rFonts w:ascii="Calibri" w:cs="Calibri" w:eastAsia="Calibri" w:hAnsi="Calibri"/>
                <w:color w:val="111827"/>
                <w:sz w:val="19"/>
                <w:szCs w:val="19"/>
              </w:rPr>
              <w:t xml:space="preserve">The fare set by the Partner for a specific trip, within the price band prescribed by Roamix for that route.</w:t>
            </w:r>
          </w:p>
        </w:tc>
      </w:tr>
      <w:tr>
        <w:tc>
          <w:tcPr>
            <w:tcW w:type="dxa" w:w="2400"/>
            <w:tcBorders>
              <w:top w:val="single" w:color="E5E7EB" w:sz="4"/>
              <w:left w:val="single" w:color="E5E7EB" w:sz="4"/>
              <w:bottom w:val="single" w:color="E5E7EB" w:sz="4"/>
              <w:right w:val="single" w:color="E5E7EB" w:sz="4"/>
            </w:tcBorders>
            <w:shd w:fill="F0F2FA" w:val="clear"/>
            <w:tcMar>
              <w:top w:type="dxa" w:w="80"/>
              <w:left w:type="dxa" w:w="140"/>
              <w:bottom w:type="dxa" w:w="80"/>
              <w:right w:type="dxa" w:w="100"/>
            </w:tcMar>
          </w:tcPr>
          <w:p>
            <w:r>
              <w:rPr>
                <w:rFonts w:ascii="Calibri" w:cs="Calibri" w:eastAsia="Calibri" w:hAnsi="Calibri"/>
                <w:b/>
                <w:bCs/>
                <w:color w:val="1B2A6B"/>
                <w:sz w:val="19"/>
                <w:szCs w:val="19"/>
              </w:rPr>
              <w:t xml:space="preserve">"Content"</w:t>
            </w:r>
          </w:p>
        </w:tc>
        <w:tc>
          <w:tcPr>
            <w:tcW w:type="dxa" w:w="6960"/>
            <w:tcBorders>
              <w:top w:val="single" w:color="E5E7EB" w:sz="4"/>
              <w:left w:val="single" w:color="E5E7EB" w:sz="4"/>
              <w:bottom w:val="single" w:color="E5E7EB" w:sz="4"/>
              <w:right w:val="single" w:color="E5E7EB" w:sz="4"/>
            </w:tcBorders>
            <w:shd w:fill="F0F2FA" w:val="clear"/>
            <w:tcMar>
              <w:top w:type="dxa" w:w="80"/>
              <w:left w:type="dxa" w:w="160"/>
              <w:bottom w:type="dxa" w:w="80"/>
              <w:right w:type="dxa" w:w="100"/>
            </w:tcMar>
          </w:tcPr>
          <w:p>
            <w:pPr>
              <w:jc w:val="both"/>
            </w:pPr>
            <w:r>
              <w:rPr>
                <w:rFonts w:ascii="Calibri" w:cs="Calibri" w:eastAsia="Calibri" w:hAnsi="Calibri"/>
                <w:color w:val="111827"/>
                <w:sz w:val="19"/>
                <w:szCs w:val="19"/>
              </w:rPr>
              <w:t xml:space="preserve">All text, images, graphics, data, information, software, and other materials available on or through the Platform.</w:t>
            </w:r>
          </w:p>
        </w:tc>
      </w:tr>
      <w:tr>
        <w:tc>
          <w:tcPr>
            <w:tcW w:type="dxa" w:w="2400"/>
            <w:tcBorders>
              <w:top w:val="single" w:color="E5E7EB" w:sz="4"/>
              <w:left w:val="single" w:color="E5E7EB" w:sz="4"/>
              <w:bottom w:val="single" w:color="E5E7EB" w:sz="4"/>
              <w:right w:val="single" w:color="E5E7EB" w:sz="4"/>
            </w:tcBorders>
            <w:shd w:fill="FFFFFF" w:val="clear"/>
            <w:tcMar>
              <w:top w:type="dxa" w:w="80"/>
              <w:left w:type="dxa" w:w="140"/>
              <w:bottom w:type="dxa" w:w="80"/>
              <w:right w:type="dxa" w:w="100"/>
            </w:tcMar>
          </w:tcPr>
          <w:p>
            <w:r>
              <w:rPr>
                <w:rFonts w:ascii="Calibri" w:cs="Calibri" w:eastAsia="Calibri" w:hAnsi="Calibri"/>
                <w:b/>
                <w:bCs/>
                <w:color w:val="1B2A6B"/>
                <w:sz w:val="19"/>
                <w:szCs w:val="19"/>
              </w:rPr>
              <w:t xml:space="preserve">"Applicable Law"</w:t>
            </w:r>
          </w:p>
        </w:tc>
        <w:tc>
          <w:tcPr>
            <w:tcW w:type="dxa" w:w="6960"/>
            <w:tcBorders>
              <w:top w:val="single" w:color="E5E7EB" w:sz="4"/>
              <w:left w:val="single" w:color="E5E7EB" w:sz="4"/>
              <w:bottom w:val="single" w:color="E5E7EB" w:sz="4"/>
              <w:right w:val="single" w:color="E5E7EB" w:sz="4"/>
            </w:tcBorders>
            <w:shd w:fill="FFFFFF" w:val="clear"/>
            <w:tcMar>
              <w:top w:type="dxa" w:w="80"/>
              <w:left w:type="dxa" w:w="160"/>
              <w:bottom w:type="dxa" w:w="80"/>
              <w:right w:type="dxa" w:w="100"/>
            </w:tcMar>
          </w:tcPr>
          <w:p>
            <w:pPr>
              <w:jc w:val="both"/>
            </w:pPr>
            <w:r>
              <w:rPr>
                <w:rFonts w:ascii="Calibri" w:cs="Calibri" w:eastAsia="Calibri" w:hAnsi="Calibri"/>
                <w:color w:val="111827"/>
                <w:sz w:val="19"/>
                <w:szCs w:val="19"/>
              </w:rPr>
              <w:t xml:space="preserve">All statutes, regulations, guidelines, orders, and judicial decisions of the Republic of India applicable to the Services.</w:t>
            </w:r>
          </w:p>
        </w:tc>
      </w:tr>
      <w:tr>
        <w:tc>
          <w:tcPr>
            <w:tcW w:type="dxa" w:w="2400"/>
            <w:tcBorders>
              <w:top w:val="single" w:color="E5E7EB" w:sz="4"/>
              <w:left w:val="single" w:color="E5E7EB" w:sz="4"/>
              <w:bottom w:val="single" w:color="E5E7EB" w:sz="4"/>
              <w:right w:val="single" w:color="E5E7EB" w:sz="4"/>
            </w:tcBorders>
            <w:shd w:fill="F0F2FA" w:val="clear"/>
            <w:tcMar>
              <w:top w:type="dxa" w:w="80"/>
              <w:left w:type="dxa" w:w="140"/>
              <w:bottom w:type="dxa" w:w="80"/>
              <w:right w:type="dxa" w:w="100"/>
            </w:tcMar>
          </w:tcPr>
          <w:p>
            <w:r>
              <w:rPr>
                <w:rFonts w:ascii="Calibri" w:cs="Calibri" w:eastAsia="Calibri" w:hAnsi="Calibri"/>
                <w:b/>
                <w:bCs/>
                <w:color w:val="1B2A6B"/>
                <w:sz w:val="19"/>
                <w:szCs w:val="19"/>
              </w:rPr>
              <w:t xml:space="preserve">"Force Majeure"</w:t>
            </w:r>
          </w:p>
        </w:tc>
        <w:tc>
          <w:tcPr>
            <w:tcW w:type="dxa" w:w="6960"/>
            <w:tcBorders>
              <w:top w:val="single" w:color="E5E7EB" w:sz="4"/>
              <w:left w:val="single" w:color="E5E7EB" w:sz="4"/>
              <w:bottom w:val="single" w:color="E5E7EB" w:sz="4"/>
              <w:right w:val="single" w:color="E5E7EB" w:sz="4"/>
            </w:tcBorders>
            <w:shd w:fill="F0F2FA" w:val="clear"/>
            <w:tcMar>
              <w:top w:type="dxa" w:w="80"/>
              <w:left w:type="dxa" w:w="160"/>
              <w:bottom w:type="dxa" w:w="80"/>
              <w:right w:type="dxa" w:w="100"/>
            </w:tcMar>
          </w:tcPr>
          <w:p>
            <w:pPr>
              <w:jc w:val="both"/>
            </w:pPr>
            <w:r>
              <w:rPr>
                <w:rFonts w:ascii="Calibri" w:cs="Calibri" w:eastAsia="Calibri" w:hAnsi="Calibri"/>
                <w:color w:val="111827"/>
                <w:sz w:val="19"/>
                <w:szCs w:val="19"/>
              </w:rPr>
              <w:t xml:space="preserve">Events beyond the reasonable control of either party, including acts of God, war, pandemic, government orders, floods, strikes, or internet outages.</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2.  </w:t>
            </w:r>
            <w:r>
              <w:rPr>
                <w:rFonts w:ascii="Calibri" w:cs="Calibri" w:eastAsia="Calibri" w:hAnsi="Calibri"/>
                <w:b/>
                <w:bCs/>
                <w:color w:val="FFFFFF"/>
                <w:sz w:val="24"/>
                <w:szCs w:val="24"/>
              </w:rPr>
              <w:t xml:space="preserve">Nature and Status of the Platform</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Roamix is a technology-enabled marketplace and booking facilitation platform. The Company does not own, operate, manage, or control any vehicle listed on the Platform. The Company does not employ, supervise, or direct any driver or Partner.</w:t>
      </w:r>
    </w:p>
    <w:p>
      <w:pPr>
        <w:spacing w:after="0" w:before="0"/>
      </w:pPr>
      <w:r>
        <w:rPr>
          <w:sz w:val="80"/>
          <w:szCs w:val="80"/>
        </w:rPr>
        <w:t xml:space="preserve"/>
      </w:r>
    </w:p>
    <w:p>
      <w:pPr>
        <w:spacing w:after="140" w:before="0"/>
        <w:jc w:val="both"/>
      </w:pPr>
      <w:r>
        <w:rPr>
          <w:rFonts w:ascii="Calibri" w:cs="Calibri" w:eastAsia="Calibri" w:hAnsi="Calibri"/>
          <w:color w:val="111827"/>
          <w:sz w:val="20"/>
          <w:szCs w:val="20"/>
        </w:rPr>
        <w:t xml:space="preserve">Roamix acts solely as an intermediary that connects Travellers with independent Partners. Roamix is an "intermediary" as defined under Section 2(w) of the Information Technology Act 2000 and the Information Technology (Intermediary Guidelines and Digital Media Ethics Code) Rules 2021.</w:t>
      </w:r>
    </w:p>
    <w:p>
      <w:pPr>
        <w:spacing w:after="0" w:before="0"/>
      </w:pPr>
      <w:r>
        <w:rPr>
          <w:sz w:val="80"/>
          <w:szCs w:val="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2A6B" w:sz="6"/>
              <w:left w:val="thick" w:color="1B2A6B" w:sz="24"/>
              <w:bottom w:val="single" w:color="1B2A6B" w:sz="6"/>
              <w:right w:val="none" w:color="FFFFFF" w:sz="0"/>
            </w:tcBorders>
            <w:shd w:fill="EEF6FF" w:val="clear"/>
            <w:tcMar>
              <w:top w:type="dxa" w:w="150"/>
              <w:left w:type="dxa" w:w="300"/>
              <w:bottom w:type="dxa" w:w="150"/>
              <w:right w:type="dxa" w:w="240"/>
            </w:tcMar>
          </w:tcPr>
          <w:p>
            <w:pPr>
              <w:spacing w:after="90" w:before="0"/>
            </w:pPr>
            <w:r>
              <w:rPr>
                <w:rFonts w:ascii="Calibri" w:cs="Calibri" w:eastAsia="Calibri" w:hAnsi="Calibri"/>
                <w:b/>
                <w:bCs/>
                <w:color w:val="1B2A6B"/>
                <w:sz w:val="21"/>
                <w:szCs w:val="21"/>
              </w:rPr>
              <w:t xml:space="preserve">Important Legal Position</w:t>
            </w:r>
          </w:p>
          <w:p>
            <w:pPr>
              <w:spacing w:after="70" w:before="0"/>
              <w:jc w:val="both"/>
            </w:pPr>
            <w:r>
              <w:rPr>
                <w:rFonts w:ascii="Calibri" w:cs="Calibri" w:eastAsia="Calibri" w:hAnsi="Calibri"/>
                <w:i/>
                <w:iCs/>
                <w:color w:val="111827"/>
                <w:sz w:val="19"/>
                <w:szCs w:val="19"/>
              </w:rPr>
              <w:t xml:space="preserve">The transport contract for each journey is formed directly between the Traveller and the Partner. Roamix is not a party to that transport contract. Roamix is not a transport company, motor carrier, or common carrier under the Motor Vehicles Act 1988 or any other applicable law.</w:t>
            </w:r>
          </w:p>
          <w:p>
            <w:pPr>
              <w:spacing w:after="70" w:before="0"/>
              <w:jc w:val="both"/>
            </w:pPr>
            <w:r>
              <w:rPr>
                <w:rFonts w:ascii="Calibri" w:cs="Calibri" w:eastAsia="Calibri" w:hAnsi="Calibri"/>
                <w:i/>
                <w:iCs/>
                <w:color w:val="111827"/>
                <w:sz w:val="19"/>
                <w:szCs w:val="19"/>
              </w:rPr>
              <w:t xml:space="preserve">Roamix facilitates the booking and payment process only. Roamix shall not be liable for the acts, omissions, negligence, or misconduct of any Partner or Traveller.</w:t>
            </w:r>
          </w:p>
        </w:tc>
      </w:tr>
    </w:tbl>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3.  </w:t>
            </w:r>
            <w:r>
              <w:rPr>
                <w:rFonts w:ascii="Calibri" w:cs="Calibri" w:eastAsia="Calibri" w:hAnsi="Calibri"/>
                <w:b/>
                <w:bCs/>
                <w:color w:val="FFFFFF"/>
                <w:sz w:val="24"/>
                <w:szCs w:val="24"/>
              </w:rPr>
              <w:t xml:space="preserve">User Eligibility</w:t>
            </w:r>
          </w:p>
        </w:tc>
      </w:tr>
    </w:tbl>
    <w:p>
      <w:pPr>
        <w:spacing w:after="0" w:before="0"/>
      </w:pPr>
      <w:r>
        <w:rPr>
          <w:sz w:val="140"/>
          <w:szCs w:val="140"/>
        </w:rPr>
        <w:t xml:space="preserve"/>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 must be at least 18 years of age to register and use the Platform.</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By using the Platform you represent and warrant that you have the full legal capacity to enter into a binding contract under the Indian Contract Act 1872.</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 must provide accurate, current, and complete information at the time of registration and must update such information promptly when it changes.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 must not be barred from receiving services under any applicable Indian law.</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Roamix reserves the right to refuse or cancel access to any person who does not satisfy these eligibility conditions.</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4.  </w:t>
            </w:r>
            <w:r>
              <w:rPr>
                <w:rFonts w:ascii="Calibri" w:cs="Calibri" w:eastAsia="Calibri" w:hAnsi="Calibri"/>
                <w:b/>
                <w:bCs/>
                <w:color w:val="FFFFFF"/>
                <w:sz w:val="24"/>
                <w:szCs w:val="24"/>
              </w:rPr>
              <w:t xml:space="preserve">Account Registration and Security</w:t>
            </w:r>
          </w:p>
        </w:tc>
      </w:tr>
    </w:tbl>
    <w:p>
      <w:pPr>
        <w:spacing w:after="0" w:before="0"/>
      </w:pPr>
      <w:r>
        <w:rPr>
          <w:sz w:val="140"/>
          <w:szCs w:val="140"/>
        </w:rPr>
        <w:t xml:space="preserve"/>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Registration on the Platform requires a valid Indian mobile number, which will be verified by a one-time password (OTP).</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 are solely responsible for maintaining the confidentiality of your account login credentials, including your registered mobile number and any password or PIN.</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 must notify Roamix immediately upon becoming aware of any unauthorised access to or use of your account, by contacting support@roamix.in.</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Roamix shall not be liable for any loss, damage, or liability arising from unauthorised access to your account resulting from your failure to maintain the confidentiality of your credentials.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Each person may hold only one account. Creation of duplicate or multiple accounts is prohibited. Roamix may permanently suspend all accounts of a person found to have created duplicates.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Roamix reserves the right to suspend or terminate any account that it reasonably believes has been compromised, used for fraudulent purposes, or created in violation of these Terms.</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5.  </w:t>
            </w:r>
            <w:r>
              <w:rPr>
                <w:rFonts w:ascii="Calibri" w:cs="Calibri" w:eastAsia="Calibri" w:hAnsi="Calibri"/>
                <w:b/>
                <w:bCs/>
                <w:color w:val="FFFFFF"/>
                <w:sz w:val="24"/>
                <w:szCs w:val="24"/>
              </w:rPr>
              <w:t xml:space="preserve">Booking Process and Payment</w:t>
            </w:r>
          </w:p>
        </w:tc>
      </w:tr>
    </w:tbl>
    <w:p>
      <w:pPr>
        <w:spacing w:after="0" w:before="0"/>
      </w:pPr>
      <w:r>
        <w:rPr>
          <w:sz w:val="140"/>
          <w:szCs w:val="140"/>
        </w:rPr>
        <w:t xml:space="preserve"/>
      </w:r>
    </w:p>
    <w:p>
      <w:pPr>
        <w:spacing w:after="80" w:before="180"/>
      </w:pPr>
      <w:r>
        <w:rPr>
          <w:rFonts w:ascii="Calibri" w:cs="Calibri" w:eastAsia="Calibri" w:hAnsi="Calibri"/>
          <w:b/>
          <w:bCs/>
          <w:color w:val="1B2A6B"/>
          <w:sz w:val="22"/>
          <w:szCs w:val="22"/>
          <w:u w:val="single" w:color="1B2A6B"/>
        </w:rPr>
        <w:t xml:space="preserve">5.1  Booking Confirmation</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A Booking is deemed confirmed only upon successful completion of the payment process and receipt of a Booking Confirmation from Roamix.</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Roamix reserves the right to cancel any Booking where payment has not been successfully processed or where a Partner is unavailable.</w:t>
      </w:r>
    </w:p>
    <w:p>
      <w:pPr>
        <w:spacing w:after="0" w:before="0"/>
      </w:pPr>
      <w:r>
        <w:rPr>
          <w:sz w:val="80"/>
          <w:szCs w:val="80"/>
        </w:rPr>
        <w:t xml:space="preserve"/>
      </w:r>
    </w:p>
    <w:p>
      <w:pPr>
        <w:spacing w:after="80" w:before="180"/>
      </w:pPr>
      <w:r>
        <w:rPr>
          <w:rFonts w:ascii="Calibri" w:cs="Calibri" w:eastAsia="Calibri" w:hAnsi="Calibri"/>
          <w:b/>
          <w:bCs/>
          <w:color w:val="1B2A6B"/>
          <w:sz w:val="22"/>
          <w:szCs w:val="22"/>
          <w:u w:val="single" w:color="1B2A6B"/>
        </w:rPr>
        <w:t xml:space="preserve">5.2  Pricing and Fees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 total amount payable for a Booking includes the Partner Fare, the Roamix Platform Fee, and applicable taxes (including GST).</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All charges are displayed clearly on the payment screen before you confirm the Booking. By confirming, you accept the displayed amount as the total payable.</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 Platform Fee is a non-refundable service charge for facilitating the booking and is retained by Roamix in all cases of Traveller-initiated cancellation.</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GST is charged at the rate applicable under the Central Goods and Services Tax Act 2017 and relevant State GST laws. Roamix shall issue a tax invoice or receipt for each confirmed Booking.</w:t>
      </w:r>
    </w:p>
    <w:p>
      <w:pPr>
        <w:spacing w:after="0" w:before="0"/>
      </w:pPr>
      <w:r>
        <w:rPr>
          <w:sz w:val="80"/>
          <w:szCs w:val="80"/>
        </w:rPr>
        <w:t xml:space="preserve"/>
      </w:r>
    </w:p>
    <w:p>
      <w:pPr>
        <w:spacing w:after="80" w:before="180"/>
      </w:pPr>
      <w:r>
        <w:rPr>
          <w:rFonts w:ascii="Calibri" w:cs="Calibri" w:eastAsia="Calibri" w:hAnsi="Calibri"/>
          <w:b/>
          <w:bCs/>
          <w:color w:val="1B2A6B"/>
          <w:sz w:val="22"/>
          <w:szCs w:val="22"/>
          <w:u w:val="single" w:color="1B2A6B"/>
        </w:rPr>
        <w:t xml:space="preserve">5.3  Payment Gateway</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Roamix uses licensed third-party payment gateways (such as Razorpay or an equivalent RBI-licensed payment aggregator) regulated under the Payment and Settlement Systems Act 2007 and Reserve Bank of India guidelines.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Roamix does not store credit card, debit card, or UPI credentials. All payment data is handled exclusively by the payment gateway under PCI-DSS compliance standards.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In the event of a payment failure, no Booking is created. Any amounts debited by your bank will be automatically reversed within 5 to 7 working days as per your bank's policy.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6.  </w:t>
            </w:r>
            <w:r>
              <w:rPr>
                <w:rFonts w:ascii="Calibri" w:cs="Calibri" w:eastAsia="Calibri" w:hAnsi="Calibri"/>
                <w:b/>
                <w:bCs/>
                <w:color w:val="FFFFFF"/>
                <w:sz w:val="24"/>
                <w:szCs w:val="24"/>
              </w:rPr>
              <w:t xml:space="preserve">Traveller Obligations and Conduct</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By using the Platform as a Traveller, you agree to comply with the following:</w:t>
      </w:r>
    </w:p>
    <w:p>
      <w:pPr>
        <w:spacing w:after="0" w:before="0"/>
      </w:pPr>
      <w:r>
        <w:rPr>
          <w:sz w:val="80"/>
          <w:szCs w:val="80"/>
        </w:rPr>
        <w:t xml:space="preserve"/>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Board at the agreed pickup point at the scheduled departure time. Roamix shall not be liable for missed trips due to late arrival by the Traveller.</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Carry a valid government-issued photo identity document (such as Aadhaar Card, PAN Card, Passport, or Driving Licence) during travel and present it to the Partner on request.</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Do not carry prohibited, illegal, hazardous, or restricted items in the vehicle, including explosives, narcotics, or contraband as defined under applicable Indian law.</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Treat the Partner, co-passengers, and Roamix representatives with courtesy and respect at all times. Abusive, threatening, or violent behaviour is a ground for immediate account suspension.</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Do not solicit or arrange bookings directly with Partners outside the Platform to circumvent Platform fees. Such conduct constitutes a material breach of these Terms.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Do not engage in any activity during the trip that may endanger the safety of the driver, vehicle, or other passengers.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Comply with all traffic regulations and lawful directions of the Partner during the journey.</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7.  </w:t>
            </w:r>
            <w:r>
              <w:rPr>
                <w:rFonts w:ascii="Calibri" w:cs="Calibri" w:eastAsia="Calibri" w:hAnsi="Calibri"/>
                <w:b/>
                <w:bCs/>
                <w:color w:val="FFFFFF"/>
                <w:sz w:val="24"/>
                <w:szCs w:val="24"/>
              </w:rPr>
              <w:t xml:space="preserve">Prohibited Activities</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The following activities are strictly prohibited on or in connection with the Platform. Violation of any of the following may result in immediate account suspension, permanent ban, or legal action:</w:t>
      </w:r>
    </w:p>
    <w:p>
      <w:pPr>
        <w:spacing w:after="0" w:before="0"/>
      </w:pPr>
      <w:r>
        <w:rPr>
          <w:sz w:val="80"/>
          <w:szCs w:val="80"/>
        </w:rPr>
        <w:t xml:space="preserve"/>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Providing false, misleading, or fraudulent information during registration, booking, or any interaction with Roamix or Partners.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Using the Platform for any purpose that is unlawful or prohibited under the laws of India.</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Impersonating any person or entity, or falsely representing your identity or affiliation.</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Harassing, threatening, intimidating, or causing harm to any Partner, Traveller, or Roamix employee or representative.</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Submitting false, defamatory, or malicious reviews, ratings, or complaints against Partners or Travellers.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Reverse engineering, decompiling, disassembling, or otherwise attempting to derive the source code or underlying logic of the Platform.</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Scraping, crawling, or automatically extracting data from the Platform without prior written authorisation from Roamix.</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Introducing or transmitting viruses, malware, spyware, ransomware, or any other harmful computer programme or code through the Platform.</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Using the Platform to advertise, promote, or market products or services without Roamix's prior written consent.</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Manipulating pricing, ratings, or any feature of the Platform to gain an unfair advantage.</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8.  </w:t>
            </w:r>
            <w:r>
              <w:rPr>
                <w:rFonts w:ascii="Calibri" w:cs="Calibri" w:eastAsia="Calibri" w:hAnsi="Calibri"/>
                <w:b/>
                <w:bCs/>
                <w:color w:val="FFFFFF"/>
                <w:sz w:val="24"/>
                <w:szCs w:val="24"/>
              </w:rPr>
              <w:t xml:space="preserve">Intellectual Property Rights</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All intellectual property in and relating to the Platform — including but not limited to the Roamix brand name, logo, trademarks, service marks, software, source code, design, layout, user interface, features, content, data compilations, and proprietary methodologies — are the exclusive property of Roamix Technologies Private Limited or its licensors.</w:t>
      </w:r>
    </w:p>
    <w:p>
      <w:pPr>
        <w:spacing w:after="0" w:before="0"/>
      </w:pPr>
      <w:r>
        <w:rPr>
          <w:sz w:val="80"/>
          <w:szCs w:val="80"/>
        </w:rPr>
        <w:t xml:space="preserve"/>
      </w:r>
    </w:p>
    <w:p>
      <w:pPr>
        <w:spacing w:after="140" w:before="0"/>
        <w:jc w:val="both"/>
      </w:pPr>
      <w:r>
        <w:rPr>
          <w:rFonts w:ascii="Calibri" w:cs="Calibri" w:eastAsia="Calibri" w:hAnsi="Calibri"/>
          <w:color w:val="111827"/>
          <w:sz w:val="20"/>
          <w:szCs w:val="20"/>
        </w:rPr>
        <w:t xml:space="preserve">These intellectual property rights are protected under the Trade Marks Act 1999, the Copyright Act 1957, the Information Technology Act 2000, and other applicable Indian and international laws.</w:t>
      </w:r>
    </w:p>
    <w:p>
      <w:pPr>
        <w:spacing w:after="0" w:before="0"/>
      </w:pPr>
      <w:r>
        <w:rPr>
          <w:sz w:val="80"/>
          <w:szCs w:val="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C2626" w:sz="6"/>
              <w:left w:val="thick" w:color="DC2626" w:sz="24"/>
              <w:bottom w:val="single" w:color="DC2626" w:sz="6"/>
              <w:right w:val="none" w:color="FFFFFF" w:sz="0"/>
            </w:tcBorders>
            <w:shd w:fill="FEF2F2" w:val="clear"/>
            <w:tcMar>
              <w:top w:type="dxa" w:w="150"/>
              <w:left w:type="dxa" w:w="300"/>
              <w:bottom w:type="dxa" w:w="150"/>
              <w:right w:type="dxa" w:w="240"/>
            </w:tcMar>
          </w:tcPr>
          <w:p>
            <w:pPr>
              <w:spacing w:after="90" w:before="0"/>
            </w:pPr>
            <w:r>
              <w:rPr>
                <w:rFonts w:ascii="Calibri" w:cs="Calibri" w:eastAsia="Calibri" w:hAnsi="Calibri"/>
                <w:b/>
                <w:bCs/>
                <w:color w:val="DC2626"/>
                <w:sz w:val="21"/>
                <w:szCs w:val="21"/>
              </w:rPr>
              <w:t xml:space="preserve">No Licence Granted</w:t>
            </w:r>
          </w:p>
          <w:p>
            <w:pPr>
              <w:spacing w:after="70" w:before="0"/>
              <w:jc w:val="both"/>
            </w:pPr>
            <w:r>
              <w:rPr>
                <w:rFonts w:ascii="Calibri" w:cs="Calibri" w:eastAsia="Calibri" w:hAnsi="Calibri"/>
                <w:i/>
                <w:iCs/>
                <w:color w:val="111827"/>
                <w:sz w:val="19"/>
                <w:szCs w:val="19"/>
              </w:rPr>
              <w:t xml:space="preserve">Nothing in these Terms grants you any right, licence, or interest in any intellectual property of Roamix. You may not copy, reproduce, modify, distribute, transmit, display, publish, sell, create derivative works from, or exploit any part of the Platform or its content, in whole or in part, without the prior written permission of Roamix.</w:t>
            </w:r>
          </w:p>
        </w:tc>
      </w:tr>
    </w:tbl>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9.  </w:t>
            </w:r>
            <w:r>
              <w:rPr>
                <w:rFonts w:ascii="Calibri" w:cs="Calibri" w:eastAsia="Calibri" w:hAnsi="Calibri"/>
                <w:b/>
                <w:bCs/>
                <w:color w:val="FFFFFF"/>
                <w:sz w:val="24"/>
                <w:szCs w:val="24"/>
              </w:rPr>
              <w:t xml:space="preserve">User-Generated Content</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The Platform allows you to submit ratings, reviews, photographs, feedback, support messages, and other content ("User Content"). By submitting User Content, you:</w:t>
      </w:r>
    </w:p>
    <w:p>
      <w:pPr>
        <w:spacing w:after="0" w:before="0"/>
      </w:pPr>
      <w:r>
        <w:rPr>
          <w:sz w:val="80"/>
          <w:szCs w:val="80"/>
        </w:rPr>
        <w:t xml:space="preserve"/>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Grant Roamix a non-exclusive, royalty-free, worldwide, perpetual, irrevocable, and sub-licensable licence to use, reproduce, modify, adapt, publish, translate, distribute, and display such User Content for Platform operations and marketing purposes.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Represent and warrant that you own or have the necessary rights to the User Content and that it does not infringe any third-party intellectual property, privacy, or other rights.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Confirm that the User Content is accurate, genuine, and not defamatory, obscene, offensive, or in violation of any applicable law.</w:t>
      </w:r>
    </w:p>
    <w:p>
      <w:pPr>
        <w:spacing w:after="0" w:before="0"/>
      </w:pPr>
      <w:r>
        <w:rPr>
          <w:sz w:val="80"/>
          <w:szCs w:val="80"/>
        </w:rPr>
        <w:t xml:space="preserve"/>
      </w:r>
    </w:p>
    <w:p>
      <w:pPr>
        <w:spacing w:after="140" w:before="0"/>
        <w:jc w:val="both"/>
      </w:pPr>
      <w:r>
        <w:rPr>
          <w:rFonts w:ascii="Calibri" w:cs="Calibri" w:eastAsia="Calibri" w:hAnsi="Calibri"/>
          <w:color w:val="111827"/>
          <w:sz w:val="20"/>
          <w:szCs w:val="20"/>
        </w:rPr>
        <w:t xml:space="preserve">Roamix reserves the right to remove any User Content that, in its reasonable judgment, violates these Terms or any applicable law, without prior notice to you.</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10.  </w:t>
            </w:r>
            <w:r>
              <w:rPr>
                <w:rFonts w:ascii="Calibri" w:cs="Calibri" w:eastAsia="Calibri" w:hAnsi="Calibri"/>
                <w:b/>
                <w:bCs/>
                <w:color w:val="FFFFFF"/>
                <w:sz w:val="24"/>
                <w:szCs w:val="24"/>
              </w:rPr>
              <w:t xml:space="preserve">Limitation of Liability</w:t>
            </w:r>
          </w:p>
        </w:tc>
      </w:tr>
    </w:tbl>
    <w:p>
      <w:pPr>
        <w:spacing w:after="0" w:before="0"/>
      </w:pPr>
      <w:r>
        <w:rPr>
          <w:sz w:val="140"/>
          <w:szCs w:val="14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C2626" w:sz="6"/>
              <w:left w:val="thick" w:color="DC2626" w:sz="24"/>
              <w:bottom w:val="single" w:color="DC2626" w:sz="6"/>
              <w:right w:val="none" w:color="FFFFFF" w:sz="0"/>
            </w:tcBorders>
            <w:shd w:fill="FEF2F2" w:val="clear"/>
            <w:tcMar>
              <w:top w:type="dxa" w:w="150"/>
              <w:left w:type="dxa" w:w="300"/>
              <w:bottom w:type="dxa" w:w="150"/>
              <w:right w:type="dxa" w:w="240"/>
            </w:tcMar>
          </w:tcPr>
          <w:p>
            <w:pPr>
              <w:spacing w:after="90" w:before="0"/>
            </w:pPr>
            <w:r>
              <w:rPr>
                <w:rFonts w:ascii="Calibri" w:cs="Calibri" w:eastAsia="Calibri" w:hAnsi="Calibri"/>
                <w:b/>
                <w:bCs/>
                <w:color w:val="DC2626"/>
                <w:sz w:val="21"/>
                <w:szCs w:val="21"/>
              </w:rPr>
              <w:t xml:space="preserve">⚠️  Critical Limitation — Please Read Carefully</w:t>
            </w:r>
          </w:p>
          <w:p>
            <w:pPr>
              <w:spacing w:after="70" w:before="0"/>
              <w:jc w:val="both"/>
            </w:pPr>
            <w:r>
              <w:rPr>
                <w:rFonts w:ascii="Calibri" w:cs="Calibri" w:eastAsia="Calibri" w:hAnsi="Calibri"/>
                <w:i/>
                <w:iCs/>
                <w:color w:val="111827"/>
                <w:sz w:val="19"/>
                <w:szCs w:val="19"/>
              </w:rPr>
              <w:t xml:space="preserve">To the maximum extent permitted under applicable Indian law, Roamix Technologies Private Limited, its directors, officers, employees, agents, affiliates, and technology partners shall NOT be liable for:</w:t>
            </w:r>
          </w:p>
          <w:p>
            <w:pPr>
              <w:spacing w:after="70" w:before="0"/>
              <w:jc w:val="both"/>
            </w:pPr>
            <w:r>
              <w:rPr>
                <w:rFonts w:ascii="Calibri" w:cs="Calibri" w:eastAsia="Calibri" w:hAnsi="Calibri"/>
                <w:i/>
                <w:iCs/>
                <w:color w:val="111827"/>
                <w:sz w:val="19"/>
                <w:szCs w:val="19"/>
              </w:rPr>
              <w:t xml:space="preserve">(a) Any indirect, incidental, special, consequential, exemplary, or punitive damages of any nature;</w:t>
            </w:r>
          </w:p>
          <w:p>
            <w:pPr>
              <w:spacing w:after="70" w:before="0"/>
              <w:jc w:val="both"/>
            </w:pPr>
            <w:r>
              <w:rPr>
                <w:rFonts w:ascii="Calibri" w:cs="Calibri" w:eastAsia="Calibri" w:hAnsi="Calibri"/>
                <w:i/>
                <w:iCs/>
                <w:color w:val="111827"/>
                <w:sz w:val="19"/>
                <w:szCs w:val="19"/>
              </w:rPr>
              <w:t xml:space="preserve">(b) Loss of profit, revenue, data, goodwill, or business opportunity;</w:t>
            </w:r>
          </w:p>
          <w:p>
            <w:pPr>
              <w:spacing w:after="70" w:before="0"/>
              <w:jc w:val="both"/>
            </w:pPr>
            <w:r>
              <w:rPr>
                <w:rFonts w:ascii="Calibri" w:cs="Calibri" w:eastAsia="Calibri" w:hAnsi="Calibri"/>
                <w:i/>
                <w:iCs/>
                <w:color w:val="111827"/>
                <w:sz w:val="19"/>
                <w:szCs w:val="19"/>
              </w:rPr>
              <w:t xml:space="preserve">(c) Personal injury, death, or property damage arising from the acts, omissions, negligence, or misconduct of any Partner or Traveller;</w:t>
            </w:r>
          </w:p>
          <w:p>
            <w:pPr>
              <w:spacing w:after="70" w:before="0"/>
              <w:jc w:val="both"/>
            </w:pPr>
            <w:r>
              <w:rPr>
                <w:rFonts w:ascii="Calibri" w:cs="Calibri" w:eastAsia="Calibri" w:hAnsi="Calibri"/>
                <w:i/>
                <w:iCs/>
                <w:color w:val="111827"/>
                <w:sz w:val="19"/>
                <w:szCs w:val="19"/>
              </w:rPr>
              <w:t xml:space="preserve">(d) Trip delays, cancellations, route deviations, poor service quality, or failure of a Partner to honour a Booking;</w:t>
            </w:r>
          </w:p>
          <w:p>
            <w:pPr>
              <w:spacing w:after="70" w:before="0"/>
              <w:jc w:val="both"/>
            </w:pPr>
            <w:r>
              <w:rPr>
                <w:rFonts w:ascii="Calibri" w:cs="Calibri" w:eastAsia="Calibri" w:hAnsi="Calibri"/>
                <w:i/>
                <w:iCs/>
                <w:color w:val="111827"/>
                <w:sz w:val="19"/>
                <w:szCs w:val="19"/>
              </w:rPr>
              <w:t xml:space="preserve">(e) Any Force Majeure event including floods, earthquakes, pandemics, government orders, or internet disruptions;</w:t>
            </w:r>
          </w:p>
          <w:p>
            <w:pPr>
              <w:spacing w:after="70" w:before="0"/>
              <w:jc w:val="both"/>
            </w:pPr>
            <w:r>
              <w:rPr>
                <w:rFonts w:ascii="Calibri" w:cs="Calibri" w:eastAsia="Calibri" w:hAnsi="Calibri"/>
                <w:i/>
                <w:iCs/>
                <w:color w:val="111827"/>
                <w:sz w:val="19"/>
                <w:szCs w:val="19"/>
              </w:rPr>
              <w:t xml:space="preserve">(f) Any third-party service failure including payment gateways, mapping services, or cloud infrastructure.</w:t>
            </w:r>
          </w:p>
        </w:tc>
      </w:tr>
    </w:tbl>
    <w:p>
      <w:pPr>
        <w:spacing w:after="0" w:before="0"/>
      </w:pPr>
      <w:r>
        <w:rPr>
          <w:sz w:val="120"/>
          <w:szCs w:val="120"/>
        </w:rPr>
        <w:t xml:space="preserve"/>
      </w:r>
    </w:p>
    <w:p>
      <w:pPr>
        <w:spacing w:after="140" w:before="0"/>
        <w:jc w:val="both"/>
      </w:pPr>
      <w:r>
        <w:rPr>
          <w:rFonts w:ascii="Calibri" w:cs="Calibri" w:eastAsia="Calibri" w:hAnsi="Calibri"/>
          <w:color w:val="111827"/>
          <w:sz w:val="20"/>
          <w:szCs w:val="20"/>
        </w:rPr>
        <w:t xml:space="preserve">Roamix's maximum aggregate liability to any User for any and all claims arising from or in connection with the Platform or any Booking shall not exceed the total amount paid by that User to Roamix for the specific Booking in respect of which the claim arises.</w:t>
      </w:r>
    </w:p>
    <w:p>
      <w:pPr>
        <w:spacing w:after="0" w:before="0"/>
      </w:pPr>
      <w:r>
        <w:rPr>
          <w:sz w:val="80"/>
          <w:szCs w:val="80"/>
        </w:rPr>
        <w:t xml:space="preserve"/>
      </w:r>
    </w:p>
    <w:p>
      <w:pPr>
        <w:spacing w:after="140" w:before="0"/>
        <w:jc w:val="both"/>
      </w:pPr>
      <w:r>
        <w:rPr>
          <w:rFonts w:ascii="Calibri" w:cs="Calibri" w:eastAsia="Calibri" w:hAnsi="Calibri"/>
          <w:color w:val="111827"/>
          <w:sz w:val="20"/>
          <w:szCs w:val="20"/>
        </w:rPr>
        <w:t xml:space="preserve">This limitation of liability applies to all claims whether arising in contract, tort (including negligence), breach of statutory duty, or any other cause of action, and whether or not Roamix has been advised of the possibility of such damages.</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11.  </w:t>
            </w:r>
            <w:r>
              <w:rPr>
                <w:rFonts w:ascii="Calibri" w:cs="Calibri" w:eastAsia="Calibri" w:hAnsi="Calibri"/>
                <w:b/>
                <w:bCs/>
                <w:color w:val="FFFFFF"/>
                <w:sz w:val="24"/>
                <w:szCs w:val="24"/>
              </w:rPr>
              <w:t xml:space="preserve">Indemnification</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You agree to fully indemnify, defend, and hold harmless Roamix Technologies Private Limited and its directors, officers, employees, agents, and affiliates from and against any and all claims, demands, actions, proceedings, liabilities, losses, damages, penalties, fines, costs, and expenses (including reasonable legal fees and court costs) arising out of or in any way related to:</w:t>
      </w:r>
    </w:p>
    <w:p>
      <w:pPr>
        <w:spacing w:after="0" w:before="0"/>
      </w:pPr>
      <w:r>
        <w:rPr>
          <w:sz w:val="80"/>
          <w:szCs w:val="80"/>
        </w:rPr>
        <w:t xml:space="preserve"/>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Your access to or use of the Platform or Services;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Your breach or alleged breach of any representation, warranty, or obligation under these Terms;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Your violation of any applicable Indian law, regulation, or order;</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Your violation of any rights of any third party, including intellectual property rights, privacy rights, or consumer rights;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Any User Content you submit, post, or transmit through the Platform;</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Any dispute between you and any Partner or co-passenger.</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12.  </w:t>
            </w:r>
            <w:r>
              <w:rPr>
                <w:rFonts w:ascii="Calibri" w:cs="Calibri" w:eastAsia="Calibri" w:hAnsi="Calibri"/>
                <w:b/>
                <w:bCs/>
                <w:color w:val="FFFFFF"/>
                <w:sz w:val="24"/>
                <w:szCs w:val="24"/>
              </w:rPr>
              <w:t xml:space="preserve">Disclaimer — "As-Is" and "As-Available"</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The Platform and all Services are provided strictly on an "as is" and "as available" basis without any representations or warranties of any kind, whether express, implied, statutory, or otherwise, including but not limited to:</w:t>
      </w:r>
    </w:p>
    <w:p>
      <w:pPr>
        <w:spacing w:after="0" w:before="0"/>
      </w:pPr>
      <w:r>
        <w:rPr>
          <w:sz w:val="80"/>
          <w:szCs w:val="80"/>
        </w:rPr>
        <w:t xml:space="preserve"/>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Fitness for a particular purpose or use case;</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Merchantability or satisfactory quality;</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Non-infringement of any third-party rights;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Accuracy, completeness, currency, or reliability of any information displayed on the Platform;</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Uninterrupted, error-free, virus-free, or secure availability of the Platform;</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That any defect or error in the Platform will be corrected.</w:t>
      </w:r>
    </w:p>
    <w:p>
      <w:pPr>
        <w:spacing w:after="0" w:before="0"/>
      </w:pPr>
      <w:r>
        <w:rPr>
          <w:sz w:val="80"/>
          <w:szCs w:val="80"/>
        </w:rPr>
        <w:t xml:space="preserve"/>
      </w:r>
    </w:p>
    <w:p>
      <w:pPr>
        <w:spacing w:after="140" w:before="0"/>
        <w:jc w:val="both"/>
      </w:pPr>
      <w:r>
        <w:rPr>
          <w:rFonts w:ascii="Calibri" w:cs="Calibri" w:eastAsia="Calibri" w:hAnsi="Calibri"/>
          <w:color w:val="111827"/>
          <w:sz w:val="20"/>
          <w:szCs w:val="20"/>
        </w:rPr>
        <w:t xml:space="preserve">Roamix does not warrant or guarantee the availability of any specific route, Partner, vehicle, or price on any given date or time. All listings on the Platform are subject to Partner availability and may change without notice.</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13.  </w:t>
            </w:r>
            <w:r>
              <w:rPr>
                <w:rFonts w:ascii="Calibri" w:cs="Calibri" w:eastAsia="Calibri" w:hAnsi="Calibri"/>
                <w:b/>
                <w:bCs/>
                <w:color w:val="FFFFFF"/>
                <w:sz w:val="24"/>
                <w:szCs w:val="24"/>
              </w:rPr>
              <w:t xml:space="preserve">Grievance Redressal — IT Act 2000 and Intermediary Guidelines 2021</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In accordance with the Information Technology Act 2000 and the Information Technology (Intermediary Guidelines and Digital Media Ethics Code) Rules 2021, Roamix designates the following officer as the Grievance Officer for the purpose of receiving and resolving complaints:</w:t>
      </w:r>
    </w:p>
    <w:p>
      <w:pPr>
        <w:spacing w:after="0" w:before="0"/>
      </w:pPr>
      <w:r>
        <w:rPr>
          <w:sz w:val="100"/>
          <w:szCs w:val="10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E5E7EB" w:sz="4"/>
              <w:left w:val="single" w:color="E5E7EB" w:sz="4"/>
              <w:bottom w:val="single" w:color="E5E7EB" w:sz="4"/>
              <w:right w:val="single" w:color="E5E7EB" w:sz="4"/>
            </w:tcBorders>
            <w:shd w:fill="F0F2FA" w:val="clear"/>
            <w:tcMar>
              <w:top w:type="dxa" w:w="80"/>
              <w:left w:type="dxa" w:w="140"/>
              <w:bottom w:type="dxa" w:w="80"/>
              <w:right w:type="dxa" w:w="100"/>
            </w:tcMar>
          </w:tcPr>
          <w:p>
            <w:r>
              <w:rPr>
                <w:rFonts w:ascii="Calibri" w:cs="Calibri" w:eastAsia="Calibri" w:hAnsi="Calibri"/>
                <w:b/>
                <w:bCs/>
                <w:color w:val="1B2A6B"/>
                <w:sz w:val="19"/>
                <w:szCs w:val="19"/>
              </w:rPr>
              <w:t xml:space="preserve">Name</w:t>
            </w:r>
          </w:p>
        </w:tc>
        <w:tc>
          <w:tcPr>
            <w:tcW w:type="dxa" w:w="6960"/>
            <w:tcBorders>
              <w:top w:val="single" w:color="E5E7EB" w:sz="4"/>
              <w:left w:val="single" w:color="E5E7EB" w:sz="4"/>
              <w:bottom w:val="single" w:color="E5E7EB" w:sz="4"/>
              <w:right w:val="single" w:color="E5E7EB" w:sz="4"/>
            </w:tcBorders>
            <w:shd w:fill="F0F2FA" w:val="clear"/>
            <w:tcMar>
              <w:top w:type="dxa" w:w="80"/>
              <w:left w:type="dxa" w:w="160"/>
              <w:bottom w:type="dxa" w:w="80"/>
              <w:right w:type="dxa" w:w="100"/>
            </w:tcMar>
          </w:tcPr>
          <w:p>
            <w:r>
              <w:rPr>
                <w:rFonts w:ascii="Calibri" w:cs="Calibri" w:eastAsia="Calibri" w:hAnsi="Calibri"/>
                <w:color w:val="111827"/>
                <w:sz w:val="19"/>
                <w:szCs w:val="19"/>
              </w:rPr>
              <w:t xml:space="preserve">[Grievance Officer Name]</w:t>
            </w:r>
          </w:p>
        </w:tc>
      </w:tr>
      <w:tr>
        <w:tc>
          <w:tcPr>
            <w:tcW w:type="dxa" w:w="2400"/>
            <w:tcBorders>
              <w:top w:val="single" w:color="E5E7EB" w:sz="4"/>
              <w:left w:val="single" w:color="E5E7EB" w:sz="4"/>
              <w:bottom w:val="single" w:color="E5E7EB" w:sz="4"/>
              <w:right w:val="single" w:color="E5E7EB" w:sz="4"/>
            </w:tcBorders>
            <w:shd w:fill="FFFFFF" w:val="clear"/>
            <w:tcMar>
              <w:top w:type="dxa" w:w="80"/>
              <w:left w:type="dxa" w:w="140"/>
              <w:bottom w:type="dxa" w:w="80"/>
              <w:right w:type="dxa" w:w="100"/>
            </w:tcMar>
          </w:tcPr>
          <w:p>
            <w:r>
              <w:rPr>
                <w:rFonts w:ascii="Calibri" w:cs="Calibri" w:eastAsia="Calibri" w:hAnsi="Calibri"/>
                <w:b/>
                <w:bCs/>
                <w:color w:val="1B2A6B"/>
                <w:sz w:val="19"/>
                <w:szCs w:val="19"/>
              </w:rPr>
              <w:t xml:space="preserve">Designation</w:t>
            </w:r>
          </w:p>
        </w:tc>
        <w:tc>
          <w:tcPr>
            <w:tcW w:type="dxa" w:w="6960"/>
            <w:tcBorders>
              <w:top w:val="single" w:color="E5E7EB" w:sz="4"/>
              <w:left w:val="single" w:color="E5E7EB" w:sz="4"/>
              <w:bottom w:val="single" w:color="E5E7EB" w:sz="4"/>
              <w:right w:val="single" w:color="E5E7EB" w:sz="4"/>
            </w:tcBorders>
            <w:shd w:fill="FFFFFF" w:val="clear"/>
            <w:tcMar>
              <w:top w:type="dxa" w:w="80"/>
              <w:left w:type="dxa" w:w="160"/>
              <w:bottom w:type="dxa" w:w="80"/>
              <w:right w:type="dxa" w:w="100"/>
            </w:tcMar>
          </w:tcPr>
          <w:p>
            <w:r>
              <w:rPr>
                <w:rFonts w:ascii="Calibri" w:cs="Calibri" w:eastAsia="Calibri" w:hAnsi="Calibri"/>
                <w:color w:val="111827"/>
                <w:sz w:val="19"/>
                <w:szCs w:val="19"/>
              </w:rPr>
              <w:t xml:space="preserve">Grievance Officer — Roamix Technologies Private Limited</w:t>
            </w:r>
          </w:p>
        </w:tc>
      </w:tr>
      <w:tr>
        <w:tc>
          <w:tcPr>
            <w:tcW w:type="dxa" w:w="2400"/>
            <w:tcBorders>
              <w:top w:val="single" w:color="E5E7EB" w:sz="4"/>
              <w:left w:val="single" w:color="E5E7EB" w:sz="4"/>
              <w:bottom w:val="single" w:color="E5E7EB" w:sz="4"/>
              <w:right w:val="single" w:color="E5E7EB" w:sz="4"/>
            </w:tcBorders>
            <w:shd w:fill="F0F2FA" w:val="clear"/>
            <w:tcMar>
              <w:top w:type="dxa" w:w="80"/>
              <w:left w:type="dxa" w:w="140"/>
              <w:bottom w:type="dxa" w:w="80"/>
              <w:right w:type="dxa" w:w="100"/>
            </w:tcMar>
          </w:tcPr>
          <w:p>
            <w:r>
              <w:rPr>
                <w:rFonts w:ascii="Calibri" w:cs="Calibri" w:eastAsia="Calibri" w:hAnsi="Calibri"/>
                <w:b/>
                <w:bCs/>
                <w:color w:val="1B2A6B"/>
                <w:sz w:val="19"/>
                <w:szCs w:val="19"/>
              </w:rPr>
              <w:t xml:space="preserve">Email</w:t>
            </w:r>
          </w:p>
        </w:tc>
        <w:tc>
          <w:tcPr>
            <w:tcW w:type="dxa" w:w="6960"/>
            <w:tcBorders>
              <w:top w:val="single" w:color="E5E7EB" w:sz="4"/>
              <w:left w:val="single" w:color="E5E7EB" w:sz="4"/>
              <w:bottom w:val="single" w:color="E5E7EB" w:sz="4"/>
              <w:right w:val="single" w:color="E5E7EB" w:sz="4"/>
            </w:tcBorders>
            <w:shd w:fill="F0F2FA" w:val="clear"/>
            <w:tcMar>
              <w:top w:type="dxa" w:w="80"/>
              <w:left w:type="dxa" w:w="160"/>
              <w:bottom w:type="dxa" w:w="80"/>
              <w:right w:type="dxa" w:w="100"/>
            </w:tcMar>
          </w:tcPr>
          <w:p>
            <w:r>
              <w:rPr>
                <w:rFonts w:ascii="Calibri" w:cs="Calibri" w:eastAsia="Calibri" w:hAnsi="Calibri"/>
                <w:color w:val="111827"/>
                <w:sz w:val="19"/>
                <w:szCs w:val="19"/>
              </w:rPr>
              <w:t xml:space="preserve">grievance@roamix.in</w:t>
            </w:r>
          </w:p>
        </w:tc>
      </w:tr>
      <w:tr>
        <w:tc>
          <w:tcPr>
            <w:tcW w:type="dxa" w:w="2400"/>
            <w:tcBorders>
              <w:top w:val="single" w:color="E5E7EB" w:sz="4"/>
              <w:left w:val="single" w:color="E5E7EB" w:sz="4"/>
              <w:bottom w:val="single" w:color="E5E7EB" w:sz="4"/>
              <w:right w:val="single" w:color="E5E7EB" w:sz="4"/>
            </w:tcBorders>
            <w:shd w:fill="FFFFFF" w:val="clear"/>
            <w:tcMar>
              <w:top w:type="dxa" w:w="80"/>
              <w:left w:type="dxa" w:w="140"/>
              <w:bottom w:type="dxa" w:w="80"/>
              <w:right w:type="dxa" w:w="100"/>
            </w:tcMar>
          </w:tcPr>
          <w:p>
            <w:r>
              <w:rPr>
                <w:rFonts w:ascii="Calibri" w:cs="Calibri" w:eastAsia="Calibri" w:hAnsi="Calibri"/>
                <w:b/>
                <w:bCs/>
                <w:color w:val="1B2A6B"/>
                <w:sz w:val="19"/>
                <w:szCs w:val="19"/>
              </w:rPr>
              <w:t xml:space="preserve">Address</w:t>
            </w:r>
          </w:p>
        </w:tc>
        <w:tc>
          <w:tcPr>
            <w:tcW w:type="dxa" w:w="6960"/>
            <w:tcBorders>
              <w:top w:val="single" w:color="E5E7EB" w:sz="4"/>
              <w:left w:val="single" w:color="E5E7EB" w:sz="4"/>
              <w:bottom w:val="single" w:color="E5E7EB" w:sz="4"/>
              <w:right w:val="single" w:color="E5E7EB" w:sz="4"/>
            </w:tcBorders>
            <w:shd w:fill="FFFFFF" w:val="clear"/>
            <w:tcMar>
              <w:top w:type="dxa" w:w="80"/>
              <w:left w:type="dxa" w:w="160"/>
              <w:bottom w:type="dxa" w:w="80"/>
              <w:right w:type="dxa" w:w="100"/>
            </w:tcMar>
          </w:tcPr>
          <w:p>
            <w:r>
              <w:rPr>
                <w:rFonts w:ascii="Calibri" w:cs="Calibri" w:eastAsia="Calibri" w:hAnsi="Calibri"/>
                <w:color w:val="111827"/>
                <w:sz w:val="19"/>
                <w:szCs w:val="19"/>
              </w:rPr>
              <w:t xml:space="preserve">[Registered Office Address], Tirupati, Andhra Pradesh – 517503</w:t>
            </w:r>
          </w:p>
        </w:tc>
      </w:tr>
      <w:tr>
        <w:tc>
          <w:tcPr>
            <w:tcW w:type="dxa" w:w="2400"/>
            <w:tcBorders>
              <w:top w:val="single" w:color="E5E7EB" w:sz="4"/>
              <w:left w:val="single" w:color="E5E7EB" w:sz="4"/>
              <w:bottom w:val="single" w:color="E5E7EB" w:sz="4"/>
              <w:right w:val="single" w:color="E5E7EB" w:sz="4"/>
            </w:tcBorders>
            <w:shd w:fill="F0F2FA" w:val="clear"/>
            <w:tcMar>
              <w:top w:type="dxa" w:w="80"/>
              <w:left w:type="dxa" w:w="140"/>
              <w:bottom w:type="dxa" w:w="80"/>
              <w:right w:type="dxa" w:w="100"/>
            </w:tcMar>
          </w:tcPr>
          <w:p>
            <w:r>
              <w:rPr>
                <w:rFonts w:ascii="Calibri" w:cs="Calibri" w:eastAsia="Calibri" w:hAnsi="Calibri"/>
                <w:b/>
                <w:bCs/>
                <w:color w:val="1B2A6B"/>
                <w:sz w:val="19"/>
                <w:szCs w:val="19"/>
              </w:rPr>
              <w:t xml:space="preserve">Working Hours</w:t>
            </w:r>
          </w:p>
        </w:tc>
        <w:tc>
          <w:tcPr>
            <w:tcW w:type="dxa" w:w="6960"/>
            <w:tcBorders>
              <w:top w:val="single" w:color="E5E7EB" w:sz="4"/>
              <w:left w:val="single" w:color="E5E7EB" w:sz="4"/>
              <w:bottom w:val="single" w:color="E5E7EB" w:sz="4"/>
              <w:right w:val="single" w:color="E5E7EB" w:sz="4"/>
            </w:tcBorders>
            <w:shd w:fill="F0F2FA" w:val="clear"/>
            <w:tcMar>
              <w:top w:type="dxa" w:w="80"/>
              <w:left w:type="dxa" w:w="160"/>
              <w:bottom w:type="dxa" w:w="80"/>
              <w:right w:type="dxa" w:w="100"/>
            </w:tcMar>
          </w:tcPr>
          <w:p>
            <w:r>
              <w:rPr>
                <w:rFonts w:ascii="Calibri" w:cs="Calibri" w:eastAsia="Calibri" w:hAnsi="Calibri"/>
                <w:color w:val="111827"/>
                <w:sz w:val="19"/>
                <w:szCs w:val="19"/>
              </w:rPr>
              <w:t xml:space="preserve">Monday to Friday, 10:00 AM to 5:00 PM IST (excluding public holidays)</w:t>
            </w:r>
          </w:p>
        </w:tc>
      </w:tr>
    </w:tbl>
    <w:p>
      <w:pPr>
        <w:spacing w:after="0" w:before="0"/>
      </w:pPr>
      <w:r>
        <w:rPr>
          <w:sz w:val="100"/>
          <w:szCs w:val="100"/>
        </w:rPr>
        <w:t xml:space="preserve"/>
      </w:r>
    </w:p>
    <w:p>
      <w:pPr>
        <w:spacing w:after="140" w:before="0"/>
        <w:jc w:val="both"/>
      </w:pPr>
      <w:r>
        <w:rPr>
          <w:rFonts w:ascii="Calibri" w:cs="Calibri" w:eastAsia="Calibri" w:hAnsi="Calibri"/>
          <w:color w:val="111827"/>
          <w:sz w:val="20"/>
          <w:szCs w:val="20"/>
        </w:rPr>
        <w:t xml:space="preserve">All complaints submitted to the Grievance Officer shall be acknowledged within 24 hours of receipt and shall be resolved within 15 days of receipt, as required under the Intermediary Guidelines 2021.</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14.  </w:t>
            </w:r>
            <w:r>
              <w:rPr>
                <w:rFonts w:ascii="Calibri" w:cs="Calibri" w:eastAsia="Calibri" w:hAnsi="Calibri"/>
                <w:b/>
                <w:bCs/>
                <w:color w:val="FFFFFF"/>
                <w:sz w:val="24"/>
                <w:szCs w:val="24"/>
              </w:rPr>
              <w:t xml:space="preserve">Governing Law</w:t>
            </w:r>
          </w:p>
        </w:tc>
      </w:tr>
    </w:tbl>
    <w:p>
      <w:pPr>
        <w:spacing w:after="0" w:before="0"/>
      </w:pPr>
      <w:r>
        <w:rPr>
          <w:sz w:val="140"/>
          <w:szCs w:val="140"/>
        </w:rPr>
        <w:t xml:space="preserve"/>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These Terms and Conditions are governed by, and shall be construed in accordance with, the laws of the Republic of India, without regard to any conflict of law principles.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 courts of Hyderabad, Telangana, India shall have exclusive jurisdiction over any matter arising out of or in connection with these Terms that is not subject to arbitration under Clause 15 below.</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15.  </w:t>
            </w:r>
            <w:r>
              <w:rPr>
                <w:rFonts w:ascii="Calibri" w:cs="Calibri" w:eastAsia="Calibri" w:hAnsi="Calibri"/>
                <w:b/>
                <w:bCs/>
                <w:color w:val="FFFFFF"/>
                <w:sz w:val="24"/>
                <w:szCs w:val="24"/>
              </w:rPr>
              <w:t xml:space="preserve">Dispute Resolution and Arbitration</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Roamix is committed to resolving disputes fairly and efficiently. In the event of any dispute, claim, or controversy arising out of or relating to these Terms, the Platform, or the Services (a "Dispute"), the following process shall apply:</w:t>
      </w:r>
    </w:p>
    <w:p>
      <w:pPr>
        <w:spacing w:after="0" w:before="0"/>
      </w:pPr>
      <w:r>
        <w:rPr>
          <w:sz w:val="80"/>
          <w:szCs w:val="80"/>
        </w:rPr>
        <w:t xml:space="preserve"/>
      </w:r>
    </w:p>
    <w:p>
      <w:pPr>
        <w:spacing w:after="80" w:before="180"/>
      </w:pPr>
      <w:r>
        <w:rPr>
          <w:rFonts w:ascii="Calibri" w:cs="Calibri" w:eastAsia="Calibri" w:hAnsi="Calibri"/>
          <w:b/>
          <w:bCs/>
          <w:color w:val="1B2A6B"/>
          <w:sz w:val="22"/>
          <w:szCs w:val="22"/>
          <w:u w:val="single" w:color="1B2A6B"/>
        </w:rPr>
        <w:t xml:space="preserve">15.1  Good-Faith Negotiation</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 parties shall first attempt to resolve the Dispute through good-faith negotiation. The aggrieved party shall give written notice of the Dispute to the other party. The parties shall have 30 days from the date of such notice to resolve the Dispute amicably.</w:t>
      </w:r>
    </w:p>
    <w:p>
      <w:pPr>
        <w:spacing w:after="0" w:before="0"/>
      </w:pPr>
      <w:r>
        <w:rPr>
          <w:sz w:val="80"/>
          <w:szCs w:val="80"/>
        </w:rPr>
        <w:t xml:space="preserve"/>
      </w:r>
    </w:p>
    <w:p>
      <w:pPr>
        <w:spacing w:after="80" w:before="180"/>
      </w:pPr>
      <w:r>
        <w:rPr>
          <w:rFonts w:ascii="Calibri" w:cs="Calibri" w:eastAsia="Calibri" w:hAnsi="Calibri"/>
          <w:b/>
          <w:bCs/>
          <w:color w:val="1B2A6B"/>
          <w:sz w:val="22"/>
          <w:szCs w:val="22"/>
          <w:u w:val="single" w:color="1B2A6B"/>
        </w:rPr>
        <w:t xml:space="preserve">15.2  Arbitration</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If the Dispute is not resolved within 30 days of written notice, it shall be referred to and finally resolved by binding arbitration under the Arbitration and Conciliation Act 1996 (as amended).</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 arbitration shall be conducted by a sole arbitrator mutually appointed by both parties. If the parties cannot agree on an arbitrator within 15 days of arbitration being invoked, the arbitrator shall be appointed by the relevant authority under the Act.</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 seat and venue of arbitration shall be Hyderabad, Telangana, India.</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 language of arbitration shall be English.</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 arbitral award shall be final and binding on both parties and may be enforced in any court of competent jurisdiction.</w:t>
      </w:r>
    </w:p>
    <w:p>
      <w:pPr>
        <w:spacing w:after="0" w:before="0"/>
      </w:pPr>
      <w:r>
        <w:rPr>
          <w:sz w:val="80"/>
          <w:szCs w:val="80"/>
        </w:rPr>
        <w:t xml:space="preserve"/>
      </w:r>
    </w:p>
    <w:p>
      <w:pPr>
        <w:spacing w:after="80" w:before="180"/>
      </w:pPr>
      <w:r>
        <w:rPr>
          <w:rFonts w:ascii="Calibri" w:cs="Calibri" w:eastAsia="Calibri" w:hAnsi="Calibri"/>
          <w:b/>
          <w:bCs/>
          <w:color w:val="1B2A6B"/>
          <w:sz w:val="22"/>
          <w:szCs w:val="22"/>
          <w:u w:val="single" w:color="1B2A6B"/>
        </w:rPr>
        <w:t xml:space="preserve">15.3  Consumer Rights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Nothing in this Clause limits your rights as a consumer under the Consumer Protection Act 2019. You may approach the District Consumer Disputes Redressal Commission or the National Consumer Helpline (1800-11-4000) if your consumer rights have not been adequately addressed.</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16.  </w:t>
            </w:r>
            <w:r>
              <w:rPr>
                <w:rFonts w:ascii="Calibri" w:cs="Calibri" w:eastAsia="Calibri" w:hAnsi="Calibri"/>
                <w:b/>
                <w:bCs/>
                <w:color w:val="FFFFFF"/>
                <w:sz w:val="24"/>
                <w:szCs w:val="24"/>
              </w:rPr>
              <w:t xml:space="preserve">Amendments to Terms</w:t>
            </w:r>
          </w:p>
        </w:tc>
      </w:tr>
    </w:tbl>
    <w:p>
      <w:pPr>
        <w:spacing w:after="0" w:before="0"/>
      </w:pPr>
      <w:r>
        <w:rPr>
          <w:sz w:val="140"/>
          <w:szCs w:val="140"/>
        </w:rPr>
        <w:t xml:space="preserve"/>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Roamix may amend, modify, or update these Terms at any time without prior notice, subject to notifying registered Users through the Platform or by email to the registered email address.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The revised Terms will be effective from the date of notification or such later date as specified by Roamix.</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Your continued use of the Platform after the effective date of any amendment constitutes your acceptance of the revised Terms.</w:t>
      </w:r>
    </w:p>
    <w:p>
      <w:pPr>
        <w:spacing w:after="90" w:before="0"/>
        <w:ind w:left="440" w:hanging="260"/>
        <w:jc w:val="both"/>
      </w:pPr>
      <w:r>
        <w:rPr>
          <w:rFonts w:ascii="Calibri" w:cs="Calibri" w:eastAsia="Calibri" w:hAnsi="Calibri"/>
          <w:b/>
          <w:bCs/>
          <w:color w:val="E8721A"/>
          <w:sz w:val="19"/>
          <w:szCs w:val="19"/>
        </w:rPr>
        <w:t xml:space="preserve">▸  </w:t>
      </w:r>
      <w:r>
        <w:rPr>
          <w:rFonts w:ascii="Calibri" w:cs="Calibri" w:eastAsia="Calibri" w:hAnsi="Calibri"/>
          <w:color w:val="111827"/>
          <w:sz w:val="20"/>
          <w:szCs w:val="20"/>
        </w:rPr>
        <w:t xml:space="preserve">If you do not agree to the revised Terms, you must discontinue use of the Platform and may request account closure by writing to support@roamix.in.</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17.  </w:t>
            </w:r>
            <w:r>
              <w:rPr>
                <w:rFonts w:ascii="Calibri" w:cs="Calibri" w:eastAsia="Calibri" w:hAnsi="Calibri"/>
                <w:b/>
                <w:bCs/>
                <w:color w:val="FFFFFF"/>
                <w:sz w:val="24"/>
                <w:szCs w:val="24"/>
              </w:rPr>
              <w:t xml:space="preserve">Severability</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If any provision of these Terms is held to be invalid, unlawful, void, or unenforceable by any court or competent authority of competent jurisdiction, such provision shall be deemed severed from these Terms without affecting the validity and enforceability of the remaining provisions, which shall continue in full force and effect.</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18.  </w:t>
            </w:r>
            <w:r>
              <w:rPr>
                <w:rFonts w:ascii="Calibri" w:cs="Calibri" w:eastAsia="Calibri" w:hAnsi="Calibri"/>
                <w:b/>
                <w:bCs/>
                <w:color w:val="FFFFFF"/>
                <w:sz w:val="24"/>
                <w:szCs w:val="24"/>
              </w:rPr>
              <w:t xml:space="preserve">Waiver</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No failure or delay by Roamix in exercising any right, power, or remedy under these Terms shall operate as a waiver of such right, power, or remedy. No single or partial exercise of any right, power, or remedy shall preclude Roamix from exercising that or any other right, power, or remedy in the future.</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19.  </w:t>
            </w:r>
            <w:r>
              <w:rPr>
                <w:rFonts w:ascii="Calibri" w:cs="Calibri" w:eastAsia="Calibri" w:hAnsi="Calibri"/>
                <w:b/>
                <w:bCs/>
                <w:color w:val="FFFFFF"/>
                <w:sz w:val="24"/>
                <w:szCs w:val="24"/>
              </w:rPr>
              <w:t xml:space="preserve">Entire Agreement</w:t>
            </w:r>
          </w:p>
        </w:tc>
      </w:tr>
    </w:tbl>
    <w:p>
      <w:pPr>
        <w:spacing w:after="0" w:before="0"/>
      </w:pPr>
      <w:r>
        <w:rPr>
          <w:sz w:val="140"/>
          <w:szCs w:val="140"/>
        </w:rPr>
        <w:t xml:space="preserve"/>
      </w:r>
    </w:p>
    <w:p>
      <w:pPr>
        <w:spacing w:after="140" w:before="0"/>
        <w:jc w:val="both"/>
      </w:pPr>
      <w:r>
        <w:rPr>
          <w:rFonts w:ascii="Calibri" w:cs="Calibri" w:eastAsia="Calibri" w:hAnsi="Calibri"/>
          <w:color w:val="111827"/>
          <w:sz w:val="20"/>
          <w:szCs w:val="20"/>
        </w:rPr>
        <w:t xml:space="preserve">These Terms, together with the Roamix Privacy Policy, Cancellation and Refund Policy, and any applicable Partner Agreement, constitute the entire agreement between you and Roamix with respect to your use of the Platform and supersede all prior agreements, representations, understandings, negotiations, or discussions, whether oral or written, relating to the same subject matter.</w:t>
      </w:r>
    </w:p>
    <w:p>
      <w:pPr>
        <w:spacing w:after="0" w:before="0"/>
      </w:pPr>
      <w:r>
        <w:rPr>
          <w:sz w:val="180"/>
          <w:szCs w:val="1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thick" w:color="E8721A" w:sz="28"/>
              <w:bottom w:val="none" w:color="FFFFFF" w:sz="0"/>
              <w:right w:val="none" w:color="FFFFFF" w:sz="0"/>
            </w:tcBorders>
            <w:shd w:fill="1B2A6B" w:val="clear"/>
            <w:tcMar>
              <w:top w:type="dxa" w:w="120"/>
              <w:left w:type="dxa" w:w="300"/>
              <w:bottom w:type="dxa" w:w="120"/>
              <w:right w:type="dxa" w:w="200"/>
            </w:tcMar>
          </w:tcPr>
          <w:p>
            <w:pPr>
              <w:spacing w:after="0" w:before="0"/>
            </w:pPr>
            <w:r>
              <w:rPr>
                <w:rFonts w:ascii="Calibri" w:cs="Calibri" w:eastAsia="Calibri" w:hAnsi="Calibri"/>
                <w:b/>
                <w:bCs/>
                <w:color w:val="E8721A"/>
                <w:sz w:val="24"/>
                <w:szCs w:val="24"/>
              </w:rPr>
              <w:t xml:space="preserve">20.  </w:t>
            </w:r>
            <w:r>
              <w:rPr>
                <w:rFonts w:ascii="Calibri" w:cs="Calibri" w:eastAsia="Calibri" w:hAnsi="Calibri"/>
                <w:b/>
                <w:bCs/>
                <w:color w:val="FFFFFF"/>
                <w:sz w:val="24"/>
                <w:szCs w:val="24"/>
              </w:rPr>
              <w:t xml:space="preserve">Contact Information</w:t>
            </w:r>
          </w:p>
        </w:tc>
      </w:tr>
    </w:tbl>
    <w:p>
      <w:pPr>
        <w:spacing w:after="0" w:before="0"/>
      </w:pPr>
      <w:r>
        <w:rPr>
          <w:sz w:val="140"/>
          <w:szCs w:val="14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2A6B" w:sz="6"/>
              <w:left w:val="thick" w:color="1B2A6B" w:sz="24"/>
              <w:bottom w:val="single" w:color="1B2A6B" w:sz="6"/>
              <w:right w:val="none" w:color="FFFFFF" w:sz="0"/>
            </w:tcBorders>
            <w:shd w:fill="EEF6FF" w:val="clear"/>
            <w:tcMar>
              <w:top w:type="dxa" w:w="150"/>
              <w:left w:type="dxa" w:w="300"/>
              <w:bottom w:type="dxa" w:w="150"/>
              <w:right w:type="dxa" w:w="240"/>
            </w:tcMar>
          </w:tcPr>
          <w:p>
            <w:pPr>
              <w:spacing w:after="70" w:before="0"/>
              <w:jc w:val="both"/>
            </w:pPr>
            <w:r>
              <w:rPr>
                <w:rFonts w:ascii="Calibri" w:cs="Calibri" w:eastAsia="Calibri" w:hAnsi="Calibri"/>
                <w:i/>
                <w:iCs/>
                <w:color w:val="111827"/>
                <w:sz w:val="19"/>
                <w:szCs w:val="19"/>
              </w:rPr>
              <w:t xml:space="preserve">For any questions, concerns, or correspondence regarding these Terms, please contact:</w:t>
            </w:r>
          </w:p>
        </w:tc>
      </w:tr>
    </w:tbl>
    <w:p>
      <w:pPr>
        <w:spacing w:after="0" w:before="0"/>
      </w:pPr>
      <w:r>
        <w:rPr>
          <w:sz w:val="80"/>
          <w:szCs w:val="8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21A" w:sz="6"/>
              <w:left w:val="thick" w:color="E8721A" w:sz="24"/>
              <w:bottom w:val="single" w:color="E8721A" w:sz="6"/>
              <w:right w:val="none" w:color="FFFFFF" w:sz="0"/>
            </w:tcBorders>
            <w:shd w:fill="FFF8EE" w:val="clear"/>
            <w:tcMar>
              <w:top w:type="dxa" w:w="180"/>
              <w:left w:type="dxa" w:w="300"/>
              <w:bottom w:type="dxa" w:w="180"/>
              <w:right w:type="dxa" w:w="240"/>
            </w:tcMar>
          </w:tcPr>
          <w:p>
            <w:pPr>
              <w:spacing w:after="90" w:before="0"/>
            </w:pPr>
            <w:r>
              <w:rPr>
                <w:rFonts w:ascii="Calibri" w:cs="Calibri" w:eastAsia="Calibri" w:hAnsi="Calibri"/>
                <w:b/>
                <w:bCs/>
                <w:color w:val="1B2A6B"/>
                <w:sz w:val="22"/>
                <w:szCs w:val="22"/>
              </w:rPr>
              <w:t xml:space="preserve">Roamix Technologies Private Limited</w:t>
            </w:r>
          </w:p>
          <w:p>
            <w:pPr>
              <w:spacing w:after="80" w:before="0"/>
            </w:pPr>
            <w:r>
              <w:rPr>
                <w:rFonts w:ascii="Calibri" w:cs="Calibri" w:eastAsia="Calibri" w:hAnsi="Calibri"/>
                <w:color w:val="111827"/>
                <w:sz w:val="20"/>
                <w:szCs w:val="20"/>
              </w:rPr>
              <w:t xml:space="preserve">📍  Tirupati, Andhra Pradesh – 517503</w:t>
            </w:r>
          </w:p>
          <w:p>
            <w:pPr>
              <w:spacing w:after="80" w:before="0"/>
            </w:pPr>
            <w:r>
              <w:rPr>
                <w:rFonts w:ascii="Calibri" w:cs="Calibri" w:eastAsia="Calibri" w:hAnsi="Calibri"/>
                <w:b/>
                <w:bCs/>
                <w:color w:val="111827"/>
                <w:sz w:val="21"/>
                <w:szCs w:val="21"/>
              </w:rPr>
              <w:t xml:space="preserve">📞  +91 99123 23224</w:t>
            </w:r>
          </w:p>
          <w:p>
            <w:pPr>
              <w:spacing w:after="80" w:before="0"/>
            </w:pPr>
            <w:r>
              <w:rPr>
                <w:rFonts w:ascii="Calibri" w:cs="Calibri" w:eastAsia="Calibri" w:hAnsi="Calibri"/>
                <w:color w:val="111827"/>
                <w:sz w:val="20"/>
                <w:szCs w:val="20"/>
              </w:rPr>
              <w:t xml:space="preserve">📧  Legal: legal@roamix.in  |  Support: support@roamix.in  |  Grievance: grievance@roamix.in</w:t>
            </w:r>
          </w:p>
          <w:p>
            <w:pPr>
              <w:spacing w:after="0" w:before="0"/>
            </w:pPr>
            <w:r>
              <w:rPr>
                <w:rFonts w:ascii="Calibri" w:cs="Calibri" w:eastAsia="Calibri" w:hAnsi="Calibri"/>
                <w:color w:val="4B5563"/>
                <w:sz w:val="19"/>
                <w:szCs w:val="19"/>
              </w:rPr>
              <w:t xml:space="preserve">🏢  CIN: U62013AP2026PTC127450</w:t>
            </w:r>
          </w:p>
        </w:tc>
      </w:tr>
    </w:tbl>
    <w:p>
      <w:pPr>
        <w:spacing w:after="0" w:before="0"/>
      </w:pPr>
      <w:r>
        <w:rPr>
          <w:sz w:val="220"/>
          <w:szCs w:val="220"/>
        </w:rPr>
        <w:t xml:space="preserve"/>
      </w:r>
    </w:p>
    <w:p>
      <w:pPr>
        <w:pBdr>
          <w:bottom w:val="single" w:color="E8721A" w:sz="12"/>
        </w:pBdr>
        <w:spacing w:after="0" w:before="0"/>
      </w:pPr>
    </w:p>
    <w:p>
      <w:pPr>
        <w:spacing w:after="0" w:before="0"/>
      </w:pPr>
      <w:r>
        <w:rPr>
          <w:sz w:val="120"/>
          <w:szCs w:val="120"/>
        </w:rPr>
        <w:t xml:space="preserve"/>
      </w:r>
    </w:p>
    <w:p>
      <w:pPr>
        <w:spacing w:after="0" w:before="0"/>
        <w:jc w:val="center"/>
      </w:pPr>
      <w:r>
        <w:rPr>
          <w:rFonts w:ascii="Calibri" w:cs="Calibri" w:eastAsia="Calibri" w:hAnsi="Calibri"/>
          <w:i/>
          <w:iCs/>
          <w:color w:val="4B5563"/>
          <w:sz w:val="19"/>
          <w:szCs w:val="19"/>
        </w:rPr>
        <w:t xml:space="preserve">By using the Roamix Platform you confirm that you have read,</w:t>
      </w:r>
    </w:p>
    <w:p>
      <w:pPr>
        <w:spacing w:after="0" w:before="0"/>
        <w:jc w:val="center"/>
      </w:pPr>
      <w:r>
        <w:rPr>
          <w:rFonts w:ascii="Calibri" w:cs="Calibri" w:eastAsia="Calibri" w:hAnsi="Calibri"/>
          <w:i/>
          <w:iCs/>
          <w:color w:val="4B5563"/>
          <w:sz w:val="19"/>
          <w:szCs w:val="19"/>
        </w:rPr>
        <w:t xml:space="preserve">understood, and agree to be bound by these Terms and Conditions.</w:t>
      </w:r>
    </w:p>
    <w:p>
      <w:pPr>
        <w:spacing w:after="0" w:before="0"/>
      </w:pPr>
      <w:r>
        <w:rPr>
          <w:sz w:val="80"/>
          <w:szCs w:val="80"/>
        </w:rPr>
        <w:t xml:space="preserve"/>
      </w:r>
    </w:p>
    <w:p>
      <w:pPr>
        <w:spacing w:after="0" w:before="0"/>
        <w:jc w:val="center"/>
      </w:pPr>
      <w:r>
        <w:rPr>
          <w:rFonts w:ascii="Calibri" w:cs="Calibri" w:eastAsia="Calibri" w:hAnsi="Calibri"/>
          <w:color w:val="9CA3AF"/>
          <w:sz w:val="17"/>
          <w:szCs w:val="17"/>
        </w:rPr>
        <w:t xml:space="preserve">© 2025 Roamix Technologies Private Limited. All rights reserved.</w:t>
      </w:r>
    </w:p>
    <w:sectPr>
      <w:headerReference w:type="default" r:id="rId7"/>
      <w:footerReference w:type="default" r:id="rId8"/>
      <w:pgSz w:w="11906" w:h="16838" w:orient="portrait"/>
      <w:pgMar w:top="1584" w:right="1152" w:bottom="1584"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bottom w:val="single" w:color="E8721A" w:sz="12"/>
      </w:pBdr>
      <w:spacing w:after="0" w:before="0"/>
    </w:pPr>
  </w:p>
  <w:p>
    <w:pPr>
      <w:spacing w:after="50" w:before="60"/>
      <w:jc w:val="center"/>
    </w:pPr>
    <w:r>
      <w:rPr>
        <w:rFonts w:ascii="Calibri" w:cs="Calibri" w:eastAsia="Calibri" w:hAnsi="Calibri"/>
        <w:i/>
        <w:iCs/>
        <w:color w:val="B8860B"/>
        <w:sz w:val="19"/>
        <w:szCs w:val="19"/>
      </w:rPr>
      <w:t xml:space="preserve">Roamix – An Andhra Pradesh Startup with a Vision for India</w:t>
    </w:r>
  </w:p>
  <w:p>
    <w:pPr>
      <w:spacing w:after="0" w:before="0"/>
      <w:jc w:val="center"/>
    </w:pPr>
    <w:r>
      <w:rPr>
        <w:rFonts w:ascii="Calibri" w:cs="Calibri" w:eastAsia="Calibri" w:hAnsi="Calibri"/>
        <w:color w:val="4B5563"/>
        <w:sz w:val="15"/>
        <w:szCs w:val="15"/>
      </w:rPr>
      <w:t xml:space="preserve">CIN: U62013AP2026PTC127450  |  Tirupati, Andhra Pradesh – 517503  |  roamixcabs@gmail.com  |  +91 99123 23224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30"/>
      <w:jc w:val="center"/>
    </w:pPr>
    <w:r>
      <w:drawing>
        <wp:inline distT="0" distB="0" distL="0" distR="0">
          <wp:extent cx="1047750" cy="352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352425"/>
                  </a:xfrm>
                  <a:prstGeom prst="rect">
                    <a:avLst/>
                  </a:prstGeom>
                </pic:spPr>
              </pic:pic>
            </a:graphicData>
          </a:graphic>
        </wp:inline>
      </w:drawing>
    </w:r>
  </w:p>
  <w:p>
    <w:pPr>
      <w:spacing w:after="0" w:before="0"/>
      <w:jc w:val="center"/>
    </w:pPr>
    <w:r>
      <w:rPr>
        <w:rFonts w:ascii="Calibri" w:cs="Calibri" w:eastAsia="Calibri" w:hAnsi="Calibri"/>
        <w:b/>
        <w:bCs/>
        <w:i/>
        <w:iCs/>
        <w:color w:val="B8860B"/>
        <w:sz w:val="21"/>
        <w:szCs w:val="21"/>
      </w:rPr>
      <w:t xml:space="preserve">Roamix Technologies Private Limited</w:t>
    </w:r>
  </w:p>
  <w:p>
    <w:pPr>
      <w:spacing w:after="60" w:before="0"/>
      <w:jc w:val="center"/>
    </w:pPr>
    <w:r>
      <w:rPr>
        <w:rFonts w:ascii="Calibri" w:cs="Calibri" w:eastAsia="Calibri" w:hAnsi="Calibri"/>
        <w:i/>
        <w:iCs/>
        <w:color w:val="9CA3AF"/>
        <w:sz w:val="16"/>
        <w:szCs w:val="16"/>
      </w:rPr>
      <w:t xml:space="preserve">Terms and Conditions of Use  ·  Version 1.0</w:t>
    </w:r>
  </w:p>
  <w:p>
    <w:pPr>
      <w:pBdr>
        <w:bottom w:val="single" w:color="E8721A" w:sz="12"/>
      </w:pBdr>
      <w:spacing w:after="0" w:befor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118f5bb45d9f3aac779c4c8ed5d36e064ff132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118f5bb45d9f3aac779c4c8ed5d36e064ff132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2026-08-20T11:17:26.296Z</dcterms:created>
  <dcterms:modified xsi:type="dcterms:W3CDTF">2026-08-20T11:17:26.312Z</dcterms:modified>
</cp:coreProperties>
</file>

<file path=docProps/custom.xml><?xml version="1.0" encoding="utf-8"?>
<Properties xmlns="http://schemas.openxmlformats.org/officeDocument/2006/custom-properties" xmlns:vt="http://schemas.openxmlformats.org/officeDocument/2006/docPropsVTypes"/>
</file>